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71E92">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2804BC8B">
      <w:pPr>
        <w:pStyle w:val="9"/>
        <w:spacing w:line="360" w:lineRule="auto"/>
        <w:jc w:val="center"/>
        <w:rPr>
          <w:rFonts w:hint="eastAsia" w:ascii="宋体" w:hAnsi="宋体" w:eastAsia="宋体"/>
          <w:b/>
          <w:bCs/>
          <w:color w:val="000000" w:themeColor="text1"/>
          <w:sz w:val="52"/>
          <w:szCs w:val="52"/>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2026年浮槎山景区公众责任险采购</w:t>
      </w:r>
    </w:p>
    <w:p w14:paraId="020B783B">
      <w:pPr>
        <w:pStyle w:val="9"/>
        <w:spacing w:line="360" w:lineRule="auto"/>
        <w:jc w:val="center"/>
        <w:rPr>
          <w:rFonts w:ascii="宋体" w:hAnsi="宋体" w:eastAsia="宋体"/>
          <w:b/>
          <w:bCs/>
          <w:color w:val="000000" w:themeColor="text1"/>
          <w:sz w:val="72"/>
          <w:szCs w:val="72"/>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项目</w:t>
      </w:r>
    </w:p>
    <w:p w14:paraId="220C2B14">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41658D0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1625CB5">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4D158A0B">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76B7608">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99420AB">
      <w:pPr>
        <w:spacing w:line="360" w:lineRule="auto"/>
        <w:rPr>
          <w:rFonts w:ascii="微软雅黑" w:hAnsi="微软雅黑" w:eastAsia="微软雅黑"/>
          <w:color w:val="000000" w:themeColor="text1"/>
          <w:sz w:val="24"/>
          <w:szCs w:val="24"/>
          <w14:textFill>
            <w14:solidFill>
              <w14:schemeClr w14:val="tx1"/>
            </w14:solidFill>
          </w14:textFill>
        </w:rPr>
      </w:pPr>
    </w:p>
    <w:p w14:paraId="2360103F">
      <w:pPr>
        <w:spacing w:line="360" w:lineRule="auto"/>
        <w:rPr>
          <w:rFonts w:ascii="微软雅黑" w:hAnsi="微软雅黑" w:eastAsia="微软雅黑"/>
          <w:color w:val="000000" w:themeColor="text1"/>
          <w:sz w:val="24"/>
          <w:szCs w:val="24"/>
          <w14:textFill>
            <w14:solidFill>
              <w14:schemeClr w14:val="tx1"/>
            </w14:solidFill>
          </w14:textFill>
        </w:rPr>
      </w:pPr>
    </w:p>
    <w:p w14:paraId="320C5D17">
      <w:pPr>
        <w:pStyle w:val="15"/>
        <w:spacing w:line="360" w:lineRule="auto"/>
        <w:ind w:left="0" w:firstLine="0" w:firstLineChars="0"/>
        <w:rPr>
          <w:color w:val="000000" w:themeColor="text1"/>
          <w14:textFill>
            <w14:solidFill>
              <w14:schemeClr w14:val="tx1"/>
            </w14:solidFill>
          </w14:textFill>
        </w:rPr>
      </w:pPr>
    </w:p>
    <w:p w14:paraId="576D7EAF">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2046497399"/>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2046497399"/>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3F96851D">
      <w:pPr>
        <w:spacing w:line="360" w:lineRule="auto"/>
        <w:jc w:val="center"/>
        <w:rPr>
          <w:rFonts w:ascii="宋体" w:hAnsi="宋体" w:eastAsia="宋体"/>
          <w:b/>
          <w:bCs/>
          <w:color w:val="000000" w:themeColor="text1"/>
          <w:sz w:val="30"/>
          <w:szCs w:val="30"/>
          <w14:textFill>
            <w14:solidFill>
              <w14:schemeClr w14:val="tx1"/>
            </w14:solidFill>
          </w14:textFill>
        </w:rPr>
      </w:pPr>
    </w:p>
    <w:p w14:paraId="17ADA07D">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九</w:t>
      </w:r>
      <w:r>
        <w:rPr>
          <w:rFonts w:ascii="宋体" w:hAnsi="宋体" w:eastAsia="宋体"/>
          <w:b/>
          <w:bCs/>
          <w:color w:val="000000" w:themeColor="text1"/>
          <w:sz w:val="30"/>
          <w:szCs w:val="30"/>
          <w14:textFill>
            <w14:solidFill>
              <w14:schemeClr w14:val="tx1"/>
            </w14:solidFill>
          </w14:textFill>
        </w:rPr>
        <w:t>月</w:t>
      </w:r>
    </w:p>
    <w:p w14:paraId="07E9752E">
      <w:pPr>
        <w:snapToGrid w:val="0"/>
        <w:rPr>
          <w:rFonts w:ascii="微软雅黑" w:hAnsi="微软雅黑" w:eastAsia="微软雅黑"/>
          <w:color w:val="000000" w:themeColor="text1"/>
          <w:sz w:val="24"/>
          <w:szCs w:val="24"/>
          <w14:textFill>
            <w14:solidFill>
              <w14:schemeClr w14:val="tx1"/>
            </w14:solidFill>
          </w14:textFill>
        </w:rPr>
      </w:pPr>
    </w:p>
    <w:p w14:paraId="7A8712D5">
      <w:pPr>
        <w:pStyle w:val="14"/>
        <w:ind w:right="-21" w:firstLine="540"/>
        <w:rPr>
          <w:rFonts w:ascii="微软雅黑" w:hAnsi="微软雅黑" w:eastAsia="微软雅黑"/>
          <w:color w:val="000000" w:themeColor="text1"/>
          <w:szCs w:val="24"/>
          <w14:textFill>
            <w14:solidFill>
              <w14:schemeClr w14:val="tx1"/>
            </w14:solidFill>
          </w14:textFill>
        </w:rPr>
      </w:pPr>
    </w:p>
    <w:p w14:paraId="0880E2FB">
      <w:pPr>
        <w:spacing w:line="720" w:lineRule="auto"/>
        <w:jc w:val="center"/>
        <w:rPr>
          <w:rFonts w:ascii="宋体" w:hAnsi="宋体" w:eastAsia="宋体"/>
          <w:b/>
          <w:bCs/>
          <w:color w:val="000000" w:themeColor="text1"/>
          <w:sz w:val="40"/>
          <w:szCs w:val="40"/>
          <w14:textFill>
            <w14:solidFill>
              <w14:schemeClr w14:val="tx1"/>
            </w14:solidFill>
          </w14:textFill>
        </w:rPr>
      </w:pPr>
    </w:p>
    <w:p w14:paraId="4E813AAF">
      <w:pPr>
        <w:spacing w:line="720" w:lineRule="auto"/>
        <w:jc w:val="center"/>
        <w:rPr>
          <w:rFonts w:ascii="宋体" w:hAnsi="宋体" w:eastAsia="宋体"/>
          <w:b/>
          <w:bCs/>
          <w:color w:val="000000" w:themeColor="text1"/>
          <w:sz w:val="40"/>
          <w:szCs w:val="40"/>
          <w14:textFill>
            <w14:solidFill>
              <w14:schemeClr w14:val="tx1"/>
            </w14:solidFill>
          </w14:textFill>
        </w:rPr>
      </w:pPr>
    </w:p>
    <w:p w14:paraId="2C6AFD5B">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6B779E47">
      <w:pPr>
        <w:pStyle w:val="12"/>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201E4236">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271F710B">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1C573D78">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7</w:t>
      </w:r>
    </w:p>
    <w:p w14:paraId="416C04EF">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9</w:t>
      </w:r>
    </w:p>
    <w:p w14:paraId="15A9A534">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lang w:val="en-US" w:eastAsia="zh-CN"/>
        </w:rPr>
        <w:t>2</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0</w:t>
      </w:r>
    </w:p>
    <w:p w14:paraId="5954DD66">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7D12FB67">
      <w:pPr>
        <w:pStyle w:val="9"/>
        <w:rPr>
          <w:rFonts w:ascii="宋体" w:hAnsi="宋体" w:eastAsia="宋体"/>
          <w:color w:val="000000" w:themeColor="text1"/>
          <w:sz w:val="28"/>
          <w:szCs w:val="28"/>
          <w14:textFill>
            <w14:solidFill>
              <w14:schemeClr w14:val="tx1"/>
            </w14:solidFill>
          </w14:textFill>
        </w:rPr>
      </w:pPr>
    </w:p>
    <w:p w14:paraId="005413BD">
      <w:pPr>
        <w:pStyle w:val="9"/>
        <w:rPr>
          <w:rFonts w:ascii="宋体" w:hAnsi="宋体" w:eastAsia="宋体"/>
          <w:color w:val="000000" w:themeColor="text1"/>
          <w:sz w:val="28"/>
          <w:szCs w:val="28"/>
          <w14:textFill>
            <w14:solidFill>
              <w14:schemeClr w14:val="tx1"/>
            </w14:solidFill>
          </w14:textFill>
        </w:rPr>
      </w:pPr>
    </w:p>
    <w:p w14:paraId="1FDB22AD">
      <w:pPr>
        <w:pStyle w:val="9"/>
        <w:rPr>
          <w:rFonts w:ascii="宋体" w:hAnsi="宋体" w:eastAsia="宋体"/>
          <w:color w:val="000000" w:themeColor="text1"/>
          <w:sz w:val="28"/>
          <w:szCs w:val="28"/>
          <w14:textFill>
            <w14:solidFill>
              <w14:schemeClr w14:val="tx1"/>
            </w14:solidFill>
          </w14:textFill>
        </w:rPr>
      </w:pPr>
    </w:p>
    <w:p w14:paraId="7926A301">
      <w:pPr>
        <w:pStyle w:val="9"/>
        <w:rPr>
          <w:rFonts w:ascii="宋体" w:hAnsi="宋体" w:eastAsia="宋体"/>
          <w:color w:val="000000" w:themeColor="text1"/>
          <w:sz w:val="28"/>
          <w:szCs w:val="28"/>
          <w14:textFill>
            <w14:solidFill>
              <w14:schemeClr w14:val="tx1"/>
            </w14:solidFill>
          </w14:textFill>
        </w:rPr>
      </w:pPr>
    </w:p>
    <w:p w14:paraId="4500B9EA">
      <w:pPr>
        <w:pStyle w:val="9"/>
        <w:rPr>
          <w:rFonts w:ascii="宋体" w:hAnsi="宋体" w:eastAsia="宋体"/>
          <w:color w:val="000000" w:themeColor="text1"/>
          <w:sz w:val="28"/>
          <w:szCs w:val="28"/>
          <w14:textFill>
            <w14:solidFill>
              <w14:schemeClr w14:val="tx1"/>
            </w14:solidFill>
          </w14:textFill>
        </w:rPr>
      </w:pPr>
    </w:p>
    <w:p w14:paraId="26D3BFBC">
      <w:pPr>
        <w:pStyle w:val="9"/>
        <w:rPr>
          <w:rFonts w:ascii="宋体" w:hAnsi="宋体" w:eastAsia="宋体"/>
          <w:color w:val="000000" w:themeColor="text1"/>
          <w:sz w:val="28"/>
          <w:szCs w:val="28"/>
          <w14:textFill>
            <w14:solidFill>
              <w14:schemeClr w14:val="tx1"/>
            </w14:solidFill>
          </w14:textFill>
        </w:rPr>
      </w:pPr>
    </w:p>
    <w:p w14:paraId="3424FD79">
      <w:pPr>
        <w:pStyle w:val="9"/>
        <w:rPr>
          <w:rFonts w:ascii="宋体" w:hAnsi="宋体" w:eastAsia="宋体"/>
          <w:color w:val="000000" w:themeColor="text1"/>
          <w:sz w:val="28"/>
          <w:szCs w:val="28"/>
          <w14:textFill>
            <w14:solidFill>
              <w14:schemeClr w14:val="tx1"/>
            </w14:solidFill>
          </w14:textFill>
        </w:rPr>
      </w:pPr>
    </w:p>
    <w:p w14:paraId="1A524A21">
      <w:pPr>
        <w:pStyle w:val="9"/>
        <w:rPr>
          <w:rFonts w:ascii="宋体" w:hAnsi="宋体" w:eastAsia="宋体"/>
          <w:color w:val="000000" w:themeColor="text1"/>
          <w:sz w:val="28"/>
          <w:szCs w:val="28"/>
          <w14:textFill>
            <w14:solidFill>
              <w14:schemeClr w14:val="tx1"/>
            </w14:solidFill>
          </w14:textFill>
        </w:rPr>
      </w:pPr>
    </w:p>
    <w:p w14:paraId="60A13F81">
      <w:pPr>
        <w:pStyle w:val="9"/>
        <w:rPr>
          <w:rFonts w:ascii="宋体" w:hAnsi="宋体" w:eastAsia="宋体"/>
          <w:color w:val="000000" w:themeColor="text1"/>
          <w:sz w:val="28"/>
          <w:szCs w:val="28"/>
          <w14:textFill>
            <w14:solidFill>
              <w14:schemeClr w14:val="tx1"/>
            </w14:solidFill>
          </w14:textFill>
        </w:rPr>
      </w:pPr>
    </w:p>
    <w:p w14:paraId="0B05AD86">
      <w:pPr>
        <w:pStyle w:val="9"/>
        <w:rPr>
          <w:rFonts w:ascii="宋体" w:hAnsi="宋体" w:eastAsia="宋体"/>
          <w:color w:val="000000" w:themeColor="text1"/>
          <w:sz w:val="28"/>
          <w:szCs w:val="28"/>
          <w14:textFill>
            <w14:solidFill>
              <w14:schemeClr w14:val="tx1"/>
            </w14:solidFill>
          </w14:textFill>
        </w:rPr>
      </w:pPr>
    </w:p>
    <w:p w14:paraId="333000C1">
      <w:pPr>
        <w:pStyle w:val="9"/>
        <w:rPr>
          <w:rFonts w:ascii="宋体" w:hAnsi="宋体" w:eastAsia="宋体"/>
          <w:color w:val="000000" w:themeColor="text1"/>
          <w:sz w:val="28"/>
          <w:szCs w:val="28"/>
          <w14:textFill>
            <w14:solidFill>
              <w14:schemeClr w14:val="tx1"/>
            </w14:solidFill>
          </w14:textFill>
        </w:rPr>
      </w:pPr>
    </w:p>
    <w:p w14:paraId="1855968D">
      <w:pPr>
        <w:pStyle w:val="9"/>
        <w:rPr>
          <w:rFonts w:ascii="宋体" w:hAnsi="宋体" w:eastAsia="宋体"/>
          <w:color w:val="000000" w:themeColor="text1"/>
          <w:sz w:val="28"/>
          <w:szCs w:val="28"/>
          <w14:textFill>
            <w14:solidFill>
              <w14:schemeClr w14:val="tx1"/>
            </w14:solidFill>
          </w14:textFill>
        </w:rPr>
      </w:pPr>
    </w:p>
    <w:p w14:paraId="0827D6C9">
      <w:pPr>
        <w:pStyle w:val="9"/>
        <w:rPr>
          <w:rFonts w:ascii="宋体" w:hAnsi="宋体" w:eastAsia="宋体"/>
          <w:color w:val="000000" w:themeColor="text1"/>
          <w:sz w:val="28"/>
          <w:szCs w:val="28"/>
          <w14:textFill>
            <w14:solidFill>
              <w14:schemeClr w14:val="tx1"/>
            </w14:solidFill>
          </w14:textFill>
        </w:rPr>
      </w:pPr>
    </w:p>
    <w:p w14:paraId="25AB750E">
      <w:pPr>
        <w:pStyle w:val="9"/>
        <w:rPr>
          <w:rFonts w:ascii="宋体" w:hAnsi="宋体" w:eastAsia="宋体"/>
          <w:color w:val="000000" w:themeColor="text1"/>
          <w:sz w:val="28"/>
          <w:szCs w:val="28"/>
          <w14:textFill>
            <w14:solidFill>
              <w14:schemeClr w14:val="tx1"/>
            </w14:solidFill>
          </w14:textFill>
        </w:rPr>
      </w:pPr>
    </w:p>
    <w:p w14:paraId="20930ECD">
      <w:pPr>
        <w:pStyle w:val="9"/>
        <w:rPr>
          <w:rFonts w:ascii="宋体" w:hAnsi="宋体" w:eastAsia="宋体"/>
          <w:color w:val="000000" w:themeColor="text1"/>
          <w:sz w:val="28"/>
          <w:szCs w:val="28"/>
          <w14:textFill>
            <w14:solidFill>
              <w14:schemeClr w14:val="tx1"/>
            </w14:solidFill>
          </w14:textFill>
        </w:rPr>
      </w:pPr>
    </w:p>
    <w:p w14:paraId="40CA64B7">
      <w:pPr>
        <w:pStyle w:val="9"/>
        <w:rPr>
          <w:rFonts w:ascii="宋体" w:hAnsi="宋体" w:eastAsia="宋体"/>
          <w:color w:val="000000" w:themeColor="text1"/>
          <w:sz w:val="28"/>
          <w:szCs w:val="28"/>
          <w14:textFill>
            <w14:solidFill>
              <w14:schemeClr w14:val="tx1"/>
            </w14:solidFill>
          </w14:textFill>
        </w:rPr>
      </w:pPr>
    </w:p>
    <w:p w14:paraId="42458929">
      <w:pPr>
        <w:pStyle w:val="9"/>
        <w:rPr>
          <w:rFonts w:ascii="宋体" w:hAnsi="宋体" w:eastAsia="宋体"/>
          <w:color w:val="000000" w:themeColor="text1"/>
          <w:sz w:val="28"/>
          <w:szCs w:val="28"/>
          <w14:textFill>
            <w14:solidFill>
              <w14:schemeClr w14:val="tx1"/>
            </w14:solidFill>
          </w14:textFill>
        </w:rPr>
      </w:pPr>
    </w:p>
    <w:p w14:paraId="78D1935C">
      <w:pPr>
        <w:pStyle w:val="9"/>
        <w:rPr>
          <w:rFonts w:ascii="宋体" w:hAnsi="宋体" w:eastAsia="宋体"/>
          <w:color w:val="000000" w:themeColor="text1"/>
          <w:sz w:val="28"/>
          <w:szCs w:val="28"/>
          <w14:textFill>
            <w14:solidFill>
              <w14:schemeClr w14:val="tx1"/>
            </w14:solidFill>
          </w14:textFill>
        </w:rPr>
      </w:pPr>
    </w:p>
    <w:p w14:paraId="241E0FBB">
      <w:pPr>
        <w:pStyle w:val="2"/>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737857B0">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highlight w:val="none"/>
          <w14:textFill>
            <w14:solidFill>
              <w14:schemeClr w14:val="tx1"/>
            </w14:solidFill>
          </w14:textFill>
        </w:rPr>
        <w:t>现对</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2026年浮槎山景区公众责任险采购项目</w:t>
      </w:r>
      <w:r>
        <w:rPr>
          <w:rFonts w:ascii="宋体" w:hAnsi="宋体" w:eastAsia="宋体"/>
          <w:color w:val="000000" w:themeColor="text1"/>
          <w:szCs w:val="21"/>
          <w:highlight w:val="none"/>
          <w:shd w:val="clear" w:color="auto" w:fill="FFFFFF"/>
          <w14:textFill>
            <w14:solidFill>
              <w14:schemeClr w14:val="tx1"/>
            </w14:solidFill>
          </w14:textFill>
        </w:rPr>
        <w:t>进</w:t>
      </w:r>
      <w:r>
        <w:rPr>
          <w:rFonts w:ascii="宋体" w:hAnsi="宋体" w:eastAsia="宋体"/>
          <w:color w:val="000000" w:themeColor="text1"/>
          <w:szCs w:val="21"/>
          <w:shd w:val="clear" w:color="auto" w:fill="FFFFFF"/>
          <w14:textFill>
            <w14:solidFill>
              <w14:schemeClr w14:val="tx1"/>
            </w14:solidFill>
          </w14:textFill>
        </w:rPr>
        <w:t>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7F993169">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6EABBC25">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0F35D7A5">
      <w:pPr>
        <w:spacing w:line="480" w:lineRule="exact"/>
        <w:ind w:firstLine="630" w:firstLineChars="300"/>
        <w:jc w:val="left"/>
        <w:rPr>
          <w:rFonts w:ascii="宋体" w:hAnsi="宋体" w:eastAsia="宋体"/>
          <w:color w:val="000000" w:themeColor="text1"/>
          <w:szCs w:val="21"/>
          <w:highlight w:val="none"/>
          <w:u w:val="none"/>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2026年浮槎山景区公众责任险采购项目</w:t>
      </w:r>
    </w:p>
    <w:p w14:paraId="4094FA47">
      <w:pPr>
        <w:spacing w:line="480" w:lineRule="exact"/>
        <w:ind w:firstLine="630" w:firstLineChars="300"/>
        <w:jc w:val="left"/>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3.项目地点</w:t>
      </w:r>
      <w:r>
        <w:rPr>
          <w:rFonts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shd w:val="clear" w:color="auto" w:fill="FFFFFF"/>
          <w14:textFill>
            <w14:solidFill>
              <w14:schemeClr w14:val="tx1"/>
            </w14:solidFill>
          </w14:textFill>
        </w:rPr>
        <w:t>浮槎山景区</w:t>
      </w:r>
    </w:p>
    <w:p w14:paraId="3B9CBE17">
      <w:pPr>
        <w:spacing w:line="480" w:lineRule="exact"/>
        <w:ind w:firstLine="630" w:firstLineChars="300"/>
        <w:jc w:val="left"/>
        <w:rPr>
          <w:rFonts w:hint="default" w:ascii="宋体" w:hAnsi="宋体" w:eastAsia="宋体"/>
          <w:color w:val="auto"/>
          <w:szCs w:val="21"/>
          <w:highlight w:val="none"/>
          <w:shd w:val="clear" w:color="auto" w:fill="FFFFFF"/>
          <w:lang w:val="en-US" w:eastAsia="zh-CN"/>
        </w:rPr>
      </w:pPr>
      <w:r>
        <w:rPr>
          <w:rFonts w:hint="eastAsia" w:ascii="宋体" w:hAnsi="宋体" w:eastAsia="宋体"/>
          <w:szCs w:val="21"/>
          <w:highlight w:val="none"/>
          <w:shd w:val="clear" w:color="auto" w:fill="FFFFFF"/>
        </w:rPr>
        <w:t>4.最高限价</w:t>
      </w:r>
      <w:r>
        <w:rPr>
          <w:rFonts w:hint="eastAsia"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shd w:val="clear" w:color="auto" w:fill="FFFFFF"/>
          <w:lang w:val="en-US" w:eastAsia="zh-CN"/>
          <w14:textFill>
            <w14:solidFill>
              <w14:schemeClr w14:val="tx1"/>
            </w14:solidFill>
          </w14:textFill>
        </w:rPr>
        <w:t>9.9</w:t>
      </w:r>
      <w:r>
        <w:rPr>
          <w:rFonts w:hint="eastAsia" w:ascii="宋体" w:hAnsi="宋体" w:eastAsia="宋体"/>
          <w:color w:val="auto"/>
          <w:szCs w:val="21"/>
          <w:highlight w:val="none"/>
          <w:shd w:val="clear" w:color="auto" w:fill="FFFFFF"/>
          <w:lang w:val="en-US" w:eastAsia="zh-CN"/>
        </w:rPr>
        <w:t>万</w:t>
      </w:r>
      <w:r>
        <w:rPr>
          <w:rFonts w:hint="eastAsia" w:ascii="宋体" w:hAnsi="宋体" w:eastAsia="宋体"/>
          <w:color w:val="auto"/>
          <w:szCs w:val="21"/>
          <w:highlight w:val="none"/>
          <w:shd w:val="clear" w:color="auto" w:fill="FFFFFF"/>
        </w:rPr>
        <w:t>元</w:t>
      </w:r>
      <w:r>
        <w:rPr>
          <w:rFonts w:hint="eastAsia" w:ascii="宋体" w:hAnsi="宋体" w:eastAsia="宋体"/>
          <w:color w:val="auto"/>
          <w:szCs w:val="21"/>
          <w:highlight w:val="none"/>
          <w:shd w:val="clear" w:color="auto" w:fill="FFFFFF"/>
          <w:lang w:val="en-US" w:eastAsia="zh-CN"/>
        </w:rPr>
        <w:t>/年</w:t>
      </w:r>
    </w:p>
    <w:p w14:paraId="35148D4D">
      <w:pPr>
        <w:autoSpaceDE w:val="0"/>
        <w:autoSpaceDN w:val="0"/>
        <w:adjustRightInd w:val="0"/>
        <w:spacing w:line="480" w:lineRule="exact"/>
        <w:ind w:left="210" w:leftChars="100" w:firstLine="420" w:firstLineChars="200"/>
        <w:jc w:val="left"/>
        <w:rPr>
          <w:rFonts w:hAnsi="宋体" w:cs="宋体"/>
          <w:szCs w:val="18"/>
        </w:rPr>
      </w:pPr>
      <w:r>
        <w:rPr>
          <w:rFonts w:hint="eastAsia" w:ascii="宋体" w:hAnsi="宋体" w:eastAsia="宋体"/>
          <w:color w:val="auto"/>
          <w:szCs w:val="21"/>
          <w:shd w:val="clear" w:color="auto" w:fill="FFFFFF"/>
        </w:rPr>
        <w:t>5.</w:t>
      </w:r>
      <w:r>
        <w:rPr>
          <w:rFonts w:hint="eastAsia" w:hAnsi="宋体" w:cs="宋体"/>
          <w:color w:val="auto"/>
          <w:szCs w:val="18"/>
        </w:rPr>
        <w:t>项目概况与采购</w:t>
      </w:r>
      <w:r>
        <w:rPr>
          <w:rFonts w:hint="eastAsia" w:hAnsi="宋体" w:cs="宋体"/>
          <w:szCs w:val="18"/>
        </w:rPr>
        <w:t>内容：</w:t>
      </w:r>
      <w:r>
        <w:rPr>
          <w:rFonts w:hint="eastAsia" w:hAnsi="宋体" w:cs="宋体"/>
          <w:szCs w:val="18"/>
          <w:lang w:val="en-US" w:eastAsia="zh-CN"/>
        </w:rPr>
        <w:t>为保障游客在浮槎山景区的人身财产安全，避免因意外事故，造成第三者的人身伤亡或财产损失，拟为浮槎山景区及棋盘石书院购买场地公众责任险。详见采购需求。</w:t>
      </w:r>
    </w:p>
    <w:p w14:paraId="72C2FA84">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lang w:val="en-US" w:eastAsia="zh-CN"/>
        </w:rPr>
        <w:t>6</w:t>
      </w:r>
      <w:r>
        <w:rPr>
          <w:rFonts w:hint="eastAsia" w:ascii="宋体" w:hAnsi="宋体" w:eastAsia="宋体"/>
          <w:szCs w:val="21"/>
          <w:shd w:val="clear" w:color="auto" w:fill="FFFFFF"/>
        </w:rPr>
        <w:t>.标段（分包）划分：不分包</w:t>
      </w:r>
    </w:p>
    <w:p w14:paraId="52968B00">
      <w:pPr>
        <w:spacing w:line="480" w:lineRule="exact"/>
        <w:ind w:firstLine="630" w:firstLineChars="300"/>
        <w:jc w:val="left"/>
      </w:pPr>
      <w:r>
        <w:rPr>
          <w:rFonts w:hint="eastAsia" w:ascii="宋体" w:hAnsi="宋体" w:eastAsia="宋体" w:cs="宋体"/>
          <w:lang w:val="en-US" w:eastAsia="zh-CN"/>
        </w:rPr>
        <w:t>7</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5847C989">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663EB423">
      <w:pPr>
        <w:spacing w:line="480" w:lineRule="exact"/>
        <w:ind w:firstLine="630" w:firstLineChars="300"/>
        <w:jc w:val="left"/>
        <w:rPr>
          <w:rFonts w:hint="eastAsia" w:ascii="宋体" w:hAnsi="宋体" w:eastAsia="宋体"/>
          <w:szCs w:val="21"/>
          <w:highlight w:val="yellow"/>
          <w:shd w:val="clear" w:color="auto" w:fill="FFFFFF"/>
        </w:rPr>
      </w:pPr>
      <w:r>
        <w:rPr>
          <w:rFonts w:hint="eastAsia" w:ascii="宋体" w:hAnsi="宋体" w:eastAsia="宋体"/>
          <w:szCs w:val="21"/>
          <w:highlight w:val="yellow"/>
          <w:shd w:val="clear" w:color="auto" w:fill="FFFFFF"/>
        </w:rPr>
        <w:t>1.供应商须具有行业监管部门颁发的保险许可证（同一保险公司只允许一家机构参与磋商），保险机构投标供应商可以是分公司或者分支机构；提供有效的营业执照、税务登记证、组织机构代码证（三证合一的仅提供相应的营业执照）；</w:t>
      </w:r>
    </w:p>
    <w:p w14:paraId="057DAC88">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57D996FC">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1A03C2F1">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39B60A4F">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6FEB02BC">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2660A289">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0D0623B8">
      <w:pPr>
        <w:pStyle w:val="19"/>
        <w:widowControl w:val="0"/>
        <w:autoSpaceDE w:val="0"/>
        <w:autoSpaceDN w:val="0"/>
        <w:adjustRightInd w:val="0"/>
        <w:spacing w:before="0" w:after="0" w:line="480" w:lineRule="exact"/>
        <w:ind w:firstLine="420"/>
        <w:rPr>
          <w:rFonts w:ascii="宋体" w:hAnsi="宋体" w:eastAsia="宋体"/>
          <w:color w:val="auto"/>
          <w:kern w:val="2"/>
          <w:sz w:val="21"/>
          <w:szCs w:val="21"/>
          <w:highlight w:val="yellow"/>
        </w:rPr>
      </w:pPr>
      <w:r>
        <w:rPr>
          <w:rFonts w:hint="eastAsia" w:ascii="宋体" w:hAnsi="宋体" w:eastAsia="宋体"/>
          <w:kern w:val="2"/>
          <w:sz w:val="21"/>
          <w:szCs w:val="21"/>
        </w:rPr>
        <w:t>1.时间：</w:t>
      </w:r>
      <w:r>
        <w:rPr>
          <w:rFonts w:hint="eastAsia" w:ascii="宋体" w:hAnsi="宋体" w:eastAsia="宋体"/>
          <w:color w:val="FF0000"/>
          <w:kern w:val="2"/>
          <w:sz w:val="21"/>
          <w:szCs w:val="21"/>
        </w:rPr>
        <w:t xml:space="preserve"> </w:t>
      </w:r>
      <w:r>
        <w:rPr>
          <w:rFonts w:hint="eastAsia" w:ascii="宋体" w:hAnsi="宋体" w:eastAsia="宋体"/>
          <w:color w:val="auto"/>
          <w:kern w:val="2"/>
          <w:sz w:val="21"/>
          <w:szCs w:val="21"/>
          <w:highlight w:val="yellow"/>
        </w:rPr>
        <w:t xml:space="preserve"> </w:t>
      </w:r>
      <w:r>
        <w:rPr>
          <w:rFonts w:hint="eastAsia" w:ascii="宋体" w:hAnsi="宋体" w:eastAsia="宋体"/>
          <w:color w:val="auto"/>
          <w:kern w:val="2"/>
          <w:sz w:val="21"/>
          <w:szCs w:val="21"/>
          <w:highlight w:val="yellow"/>
          <w:lang w:val="en-US" w:eastAsia="zh-CN"/>
        </w:rPr>
        <w:t>2026</w:t>
      </w:r>
      <w:r>
        <w:rPr>
          <w:rFonts w:hint="eastAsia" w:ascii="宋体" w:hAnsi="宋体" w:eastAsia="宋体"/>
          <w:color w:val="auto"/>
          <w:kern w:val="2"/>
          <w:sz w:val="21"/>
          <w:szCs w:val="21"/>
          <w:highlight w:val="yellow"/>
        </w:rPr>
        <w:t>年</w:t>
      </w:r>
      <w:r>
        <w:rPr>
          <w:rFonts w:hint="eastAsia" w:ascii="宋体" w:hAnsi="宋体" w:eastAsia="宋体"/>
          <w:color w:val="auto"/>
          <w:kern w:val="2"/>
          <w:sz w:val="21"/>
          <w:szCs w:val="21"/>
          <w:highlight w:val="yellow"/>
          <w:lang w:val="en-US" w:eastAsia="zh-CN"/>
        </w:rPr>
        <w:t>9</w:t>
      </w:r>
      <w:r>
        <w:rPr>
          <w:rFonts w:hint="eastAsia" w:ascii="宋体" w:hAnsi="宋体" w:eastAsia="宋体"/>
          <w:color w:val="auto"/>
          <w:kern w:val="2"/>
          <w:sz w:val="21"/>
          <w:szCs w:val="21"/>
          <w:highlight w:val="yellow"/>
        </w:rPr>
        <w:t>月</w:t>
      </w:r>
      <w:r>
        <w:rPr>
          <w:rFonts w:hint="eastAsia" w:ascii="宋体" w:hAnsi="宋体" w:eastAsia="宋体"/>
          <w:color w:val="auto"/>
          <w:kern w:val="2"/>
          <w:sz w:val="21"/>
          <w:szCs w:val="21"/>
          <w:highlight w:val="yellow"/>
          <w:lang w:val="en-US" w:eastAsia="zh-CN"/>
        </w:rPr>
        <w:t>16</w:t>
      </w:r>
      <w:r>
        <w:rPr>
          <w:rFonts w:hint="eastAsia" w:ascii="宋体" w:hAnsi="宋体" w:eastAsia="宋体"/>
          <w:color w:val="auto"/>
          <w:kern w:val="2"/>
          <w:sz w:val="21"/>
          <w:szCs w:val="21"/>
          <w:highlight w:val="yellow"/>
        </w:rPr>
        <w:t xml:space="preserve">日至 </w:t>
      </w:r>
      <w:r>
        <w:rPr>
          <w:rFonts w:hint="eastAsia" w:ascii="宋体" w:hAnsi="宋体" w:eastAsia="宋体"/>
          <w:color w:val="auto"/>
          <w:kern w:val="2"/>
          <w:sz w:val="21"/>
          <w:szCs w:val="21"/>
          <w:highlight w:val="yellow"/>
          <w:lang w:val="en-US" w:eastAsia="zh-CN"/>
        </w:rPr>
        <w:t>2026</w:t>
      </w:r>
      <w:r>
        <w:rPr>
          <w:rFonts w:hint="eastAsia" w:ascii="宋体" w:hAnsi="宋体" w:eastAsia="宋体"/>
          <w:color w:val="auto"/>
          <w:kern w:val="2"/>
          <w:sz w:val="21"/>
          <w:szCs w:val="21"/>
          <w:highlight w:val="yellow"/>
        </w:rPr>
        <w:t>年</w:t>
      </w:r>
      <w:r>
        <w:rPr>
          <w:rFonts w:hint="eastAsia" w:ascii="宋体" w:hAnsi="宋体" w:eastAsia="宋体"/>
          <w:color w:val="auto"/>
          <w:kern w:val="2"/>
          <w:sz w:val="21"/>
          <w:szCs w:val="21"/>
          <w:highlight w:val="yellow"/>
          <w:lang w:val="en-US" w:eastAsia="zh-CN"/>
        </w:rPr>
        <w:t>9</w:t>
      </w:r>
      <w:r>
        <w:rPr>
          <w:rFonts w:hint="eastAsia" w:ascii="宋体" w:hAnsi="宋体" w:eastAsia="宋体"/>
          <w:color w:val="auto"/>
          <w:kern w:val="2"/>
          <w:sz w:val="21"/>
          <w:szCs w:val="21"/>
          <w:highlight w:val="yellow"/>
        </w:rPr>
        <w:t>月</w:t>
      </w:r>
      <w:r>
        <w:rPr>
          <w:rFonts w:hint="eastAsia" w:ascii="宋体" w:hAnsi="宋体" w:eastAsia="宋体"/>
          <w:color w:val="auto"/>
          <w:kern w:val="2"/>
          <w:sz w:val="21"/>
          <w:szCs w:val="21"/>
          <w:highlight w:val="yellow"/>
          <w:lang w:val="en-US" w:eastAsia="zh-CN"/>
        </w:rPr>
        <w:t>18</w:t>
      </w:r>
      <w:r>
        <w:rPr>
          <w:rFonts w:hint="eastAsia" w:ascii="宋体" w:hAnsi="宋体" w:eastAsia="宋体"/>
          <w:color w:val="auto"/>
          <w:kern w:val="2"/>
          <w:sz w:val="21"/>
          <w:szCs w:val="21"/>
          <w:highlight w:val="yellow"/>
        </w:rPr>
        <w:t>日</w:t>
      </w:r>
    </w:p>
    <w:p w14:paraId="7F219D3F">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738EDBED">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68422591">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1262A95E">
      <w:pPr>
        <w:spacing w:line="480" w:lineRule="exact"/>
        <w:ind w:firstLine="420" w:firstLineChars="200"/>
        <w:rPr>
          <w:rFonts w:ascii="宋体" w:hAnsi="宋体"/>
          <w:bCs/>
          <w:szCs w:val="21"/>
          <w:highlight w:val="yellow"/>
          <w:u w:val="single"/>
        </w:rPr>
      </w:pPr>
      <w:r>
        <w:rPr>
          <w:rFonts w:hint="eastAsia" w:ascii="宋体" w:hAnsi="宋体"/>
          <w:szCs w:val="21"/>
        </w:rPr>
        <w:t>1.截止时间：</w:t>
      </w:r>
      <w:r>
        <w:rPr>
          <w:rFonts w:hint="eastAsia" w:ascii="宋体" w:hAnsi="宋体"/>
          <w:color w:val="FF0000"/>
          <w:szCs w:val="21"/>
          <w:highlight w:val="yellow"/>
          <w:u w:val="single"/>
        </w:rPr>
        <w:t>2026</w:t>
      </w:r>
      <w:r>
        <w:rPr>
          <w:rFonts w:hint="eastAsia" w:ascii="宋体" w:hAnsi="宋体"/>
          <w:bCs/>
          <w:color w:val="FF0000"/>
          <w:szCs w:val="21"/>
          <w:highlight w:val="yellow"/>
          <w:u w:val="single"/>
        </w:rPr>
        <w:t>年</w:t>
      </w:r>
      <w:r>
        <w:rPr>
          <w:rFonts w:hint="eastAsia" w:ascii="宋体" w:hAnsi="宋体"/>
          <w:bCs/>
          <w:color w:val="FF0000"/>
          <w:szCs w:val="21"/>
          <w:highlight w:val="yellow"/>
          <w:u w:val="single"/>
          <w:lang w:val="en-US" w:eastAsia="zh-CN"/>
        </w:rPr>
        <w:t>9</w:t>
      </w:r>
      <w:r>
        <w:rPr>
          <w:rFonts w:hint="eastAsia" w:ascii="宋体" w:hAnsi="宋体"/>
          <w:bCs/>
          <w:color w:val="FF0000"/>
          <w:szCs w:val="21"/>
          <w:highlight w:val="yellow"/>
          <w:u w:val="single"/>
        </w:rPr>
        <w:t>月</w:t>
      </w:r>
      <w:r>
        <w:rPr>
          <w:rFonts w:hint="eastAsia" w:ascii="宋体" w:hAnsi="宋体"/>
          <w:bCs/>
          <w:color w:val="FF0000"/>
          <w:szCs w:val="21"/>
          <w:highlight w:val="yellow"/>
          <w:u w:val="single"/>
          <w:lang w:val="en-US" w:eastAsia="zh-CN"/>
        </w:rPr>
        <w:t>21</w:t>
      </w:r>
      <w:r>
        <w:rPr>
          <w:rFonts w:hint="eastAsia" w:ascii="宋体" w:hAnsi="宋体"/>
          <w:bCs/>
          <w:color w:val="FF0000"/>
          <w:szCs w:val="21"/>
          <w:highlight w:val="yellow"/>
          <w:u w:val="single"/>
        </w:rPr>
        <w:t>日9点30分</w:t>
      </w:r>
      <w:r>
        <w:rPr>
          <w:rFonts w:hint="eastAsia" w:ascii="宋体" w:hAnsi="宋体"/>
          <w:bCs/>
          <w:szCs w:val="21"/>
          <w:highlight w:val="yellow"/>
        </w:rPr>
        <w:t>（北京时间）</w:t>
      </w:r>
    </w:p>
    <w:p w14:paraId="44F25BC7">
      <w:pPr>
        <w:pStyle w:val="19"/>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762B10DF">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804"/>
      <w:bookmarkStart w:id="2" w:name="_Toc35393635"/>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149D90B5">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4D7C0C7F">
      <w:pPr>
        <w:pStyle w:val="19"/>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21A540C8">
      <w:pPr>
        <w:pStyle w:val="19"/>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45E93ACF">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4F14514B">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0FD288D5">
      <w:pPr>
        <w:widowControl/>
        <w:spacing w:line="480" w:lineRule="auto"/>
        <w:ind w:firstLine="630" w:firstLineChars="300"/>
        <w:jc w:val="left"/>
        <w:rPr>
          <w:rFonts w:ascii="宋体" w:hAnsi="宋体"/>
          <w:szCs w:val="21"/>
        </w:rPr>
      </w:pPr>
      <w:r>
        <w:rPr>
          <w:rFonts w:hint="eastAsia" w:ascii="宋体" w:hAnsi="宋体"/>
          <w:szCs w:val="21"/>
        </w:rPr>
        <w:t>联系人：陈工</w:t>
      </w:r>
    </w:p>
    <w:p w14:paraId="68DFFACC">
      <w:pPr>
        <w:widowControl/>
        <w:spacing w:line="480" w:lineRule="auto"/>
        <w:ind w:firstLine="630" w:firstLineChars="300"/>
        <w:jc w:val="left"/>
        <w:rPr>
          <w:rFonts w:ascii="宋体" w:hAnsi="宋体"/>
          <w:szCs w:val="21"/>
        </w:rPr>
      </w:pPr>
      <w:r>
        <w:rPr>
          <w:rFonts w:hint="eastAsia" w:ascii="宋体" w:hAnsi="宋体"/>
          <w:szCs w:val="21"/>
        </w:rPr>
        <w:t xml:space="preserve">联系方式：15155155507  </w:t>
      </w:r>
    </w:p>
    <w:p w14:paraId="50C03DB2">
      <w:pPr>
        <w:spacing w:line="480" w:lineRule="auto"/>
        <w:rPr>
          <w:rFonts w:ascii="宋体" w:hAnsi="宋体"/>
          <w:color w:val="000000" w:themeColor="text1"/>
          <w:szCs w:val="21"/>
          <w14:textFill>
            <w14:solidFill>
              <w14:schemeClr w14:val="tx1"/>
            </w14:solidFill>
          </w14:textFill>
        </w:rPr>
      </w:pPr>
    </w:p>
    <w:p w14:paraId="78F7240B">
      <w:pPr>
        <w:pStyle w:val="14"/>
        <w:ind w:right="-21" w:firstLine="540"/>
        <w:rPr>
          <w:rFonts w:ascii="宋体" w:hAnsi="宋体"/>
          <w:color w:val="000000" w:themeColor="text1"/>
          <w:szCs w:val="21"/>
          <w14:textFill>
            <w14:solidFill>
              <w14:schemeClr w14:val="tx1"/>
            </w14:solidFill>
          </w14:textFill>
        </w:rPr>
      </w:pPr>
    </w:p>
    <w:p w14:paraId="5589BD2B">
      <w:pPr>
        <w:pStyle w:val="14"/>
        <w:ind w:right="-21" w:firstLine="540"/>
        <w:rPr>
          <w:rFonts w:ascii="宋体" w:hAnsi="宋体"/>
          <w:color w:val="000000" w:themeColor="text1"/>
          <w:szCs w:val="21"/>
          <w14:textFill>
            <w14:solidFill>
              <w14:schemeClr w14:val="tx1"/>
            </w14:solidFill>
          </w14:textFill>
        </w:rPr>
      </w:pPr>
    </w:p>
    <w:p w14:paraId="2F56D2A0">
      <w:pPr>
        <w:pStyle w:val="14"/>
        <w:ind w:right="-21" w:firstLine="540"/>
        <w:rPr>
          <w:rFonts w:ascii="宋体" w:hAnsi="宋体"/>
          <w:color w:val="000000" w:themeColor="text1"/>
          <w:szCs w:val="21"/>
          <w14:textFill>
            <w14:solidFill>
              <w14:schemeClr w14:val="tx1"/>
            </w14:solidFill>
          </w14:textFill>
        </w:rPr>
      </w:pPr>
    </w:p>
    <w:p w14:paraId="5036228C">
      <w:pPr>
        <w:pStyle w:val="14"/>
        <w:ind w:right="-21" w:firstLine="540"/>
        <w:rPr>
          <w:rFonts w:ascii="宋体" w:hAnsi="宋体"/>
          <w:color w:val="000000" w:themeColor="text1"/>
          <w:szCs w:val="21"/>
          <w14:textFill>
            <w14:solidFill>
              <w14:schemeClr w14:val="tx1"/>
            </w14:solidFill>
          </w14:textFill>
        </w:rPr>
      </w:pPr>
    </w:p>
    <w:p w14:paraId="3DEF6079">
      <w:pPr>
        <w:pStyle w:val="14"/>
        <w:ind w:right="-21" w:firstLine="540"/>
        <w:rPr>
          <w:rFonts w:ascii="宋体" w:hAnsi="宋体"/>
          <w:color w:val="000000" w:themeColor="text1"/>
          <w:szCs w:val="21"/>
          <w14:textFill>
            <w14:solidFill>
              <w14:schemeClr w14:val="tx1"/>
            </w14:solidFill>
          </w14:textFill>
        </w:rPr>
      </w:pPr>
    </w:p>
    <w:p w14:paraId="5C9A18B3">
      <w:pPr>
        <w:pStyle w:val="14"/>
        <w:ind w:right="-21" w:firstLine="540"/>
        <w:rPr>
          <w:rFonts w:ascii="宋体" w:hAnsi="宋体"/>
          <w:color w:val="000000" w:themeColor="text1"/>
          <w:szCs w:val="21"/>
          <w14:textFill>
            <w14:solidFill>
              <w14:schemeClr w14:val="tx1"/>
            </w14:solidFill>
          </w14:textFill>
        </w:rPr>
      </w:pPr>
    </w:p>
    <w:p w14:paraId="194C35D5">
      <w:pPr>
        <w:pStyle w:val="14"/>
        <w:ind w:right="-21" w:firstLine="540"/>
        <w:rPr>
          <w:rFonts w:ascii="宋体" w:hAnsi="宋体"/>
          <w:color w:val="000000" w:themeColor="text1"/>
          <w:szCs w:val="21"/>
          <w14:textFill>
            <w14:solidFill>
              <w14:schemeClr w14:val="tx1"/>
            </w14:solidFill>
          </w14:textFill>
        </w:rPr>
      </w:pPr>
    </w:p>
    <w:p w14:paraId="3BEAB4CC">
      <w:pPr>
        <w:pStyle w:val="14"/>
        <w:ind w:right="-21" w:firstLine="540"/>
        <w:rPr>
          <w:rFonts w:ascii="宋体" w:hAnsi="宋体"/>
          <w:color w:val="000000" w:themeColor="text1"/>
          <w:szCs w:val="21"/>
          <w14:textFill>
            <w14:solidFill>
              <w14:schemeClr w14:val="tx1"/>
            </w14:solidFill>
          </w14:textFill>
        </w:rPr>
      </w:pPr>
    </w:p>
    <w:p w14:paraId="4D7FB514">
      <w:pPr>
        <w:pStyle w:val="14"/>
        <w:ind w:right="-21" w:firstLine="540"/>
        <w:rPr>
          <w:rFonts w:ascii="宋体" w:hAnsi="宋体"/>
          <w:color w:val="000000" w:themeColor="text1"/>
          <w:szCs w:val="21"/>
          <w14:textFill>
            <w14:solidFill>
              <w14:schemeClr w14:val="tx1"/>
            </w14:solidFill>
          </w14:textFill>
        </w:rPr>
      </w:pPr>
    </w:p>
    <w:p w14:paraId="6E346E66">
      <w:pPr>
        <w:pStyle w:val="14"/>
        <w:ind w:right="-21" w:firstLine="0" w:firstLineChars="0"/>
        <w:rPr>
          <w:rFonts w:ascii="宋体" w:hAnsi="宋体"/>
          <w:color w:val="000000" w:themeColor="text1"/>
          <w:szCs w:val="21"/>
          <w14:textFill>
            <w14:solidFill>
              <w14:schemeClr w14:val="tx1"/>
            </w14:solidFill>
          </w14:textFill>
        </w:rPr>
      </w:pPr>
    </w:p>
    <w:p w14:paraId="7572CD6E">
      <w:pPr>
        <w:pStyle w:val="2"/>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290F6093">
      <w:pPr>
        <w:pStyle w:val="3"/>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6"/>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3557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60D61DEE">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0D131378">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041C7E71">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25CA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25B8D0F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19A4A4A7">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719410C5">
            <w:pPr>
              <w:spacing w:line="440" w:lineRule="exact"/>
              <w:ind w:firstLine="3"/>
              <w:rPr>
                <w:rFonts w:asciiTheme="minorEastAsia" w:hAnsi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Theme="minorEastAsia" w:hAnsiTheme="minorEastAsia" w:cstheme="minorEastAsia"/>
                <w:color w:val="000000" w:themeColor="text1"/>
                <w:szCs w:val="21"/>
                <w:highlight w:val="none"/>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2026年浮槎山景区公众责任险采购项目</w:t>
            </w:r>
          </w:p>
          <w:p w14:paraId="30712091">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33F0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377267A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432D076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739675D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37C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21BA6ED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00F019F4">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3FB9235C">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6DDB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107E114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4468DFF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23409742">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07BD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7BF8430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79735148">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6EA3E60F">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27E0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2F8E71F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405BA7A3">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240B5670">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0A08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0854DF7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19A672B3">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027576DF">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15FA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4AD2B17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3AFD3371">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572EC2D6">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269A7214">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固定总价</w:t>
            </w:r>
            <w:r>
              <w:rPr>
                <w:rFonts w:hint="eastAsia"/>
              </w:rPr>
              <w:t>；</w:t>
            </w:r>
          </w:p>
          <w:p w14:paraId="52D5B4CB">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lang w:val="en-US" w:eastAsia="zh-CN"/>
              </w:rPr>
              <w:t>99000</w:t>
            </w:r>
            <w:r>
              <w:rPr>
                <w:rFonts w:hint="eastAsia"/>
                <w:b/>
                <w:bCs/>
              </w:rPr>
              <w:t>元</w:t>
            </w:r>
          </w:p>
        </w:tc>
      </w:tr>
      <w:tr w14:paraId="7AA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4639418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49FCF51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59904977">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5F5E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2C77266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3F3E2B7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0F4C9106">
            <w:pPr>
              <w:pStyle w:val="20"/>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23A3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06FABC3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4EC41A0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5A1F6F66">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72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54C08B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1929AA7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4A16C9D0">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42F4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6CD0189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0D8F86E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439D9642">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5E08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7D5531D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71E1CA88">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07D5C758">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C52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55E13BE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1A6A7B4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3E19637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4CA29BBE">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74FF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403C9FC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724A5C4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68740A27">
            <w:pPr>
              <w:pStyle w:val="13"/>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2AD1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16C2856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6225D4E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18DB799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7E7B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5542BF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553AEF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5833E1BF">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070C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29A35BE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7199E0F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04A8A911">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420F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jc w:val="center"/>
        </w:trPr>
        <w:tc>
          <w:tcPr>
            <w:tcW w:w="753" w:type="dxa"/>
            <w:vAlign w:val="center"/>
          </w:tcPr>
          <w:p w14:paraId="1807739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3F2E819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55ADA8FA">
            <w:pPr>
              <w:spacing w:line="400" w:lineRule="exact"/>
              <w:rPr>
                <w:rFonts w:asciiTheme="minorEastAsia" w:hAnsiTheme="minorEastAsia" w:cstheme="minorEastAsia"/>
                <w:color w:val="000000" w:themeColor="text1"/>
                <w:szCs w:val="21"/>
                <w:highlight w:val="yellow"/>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highlight w:val="yellow"/>
              </w:rPr>
              <w:t>2026年</w:t>
            </w:r>
            <w:r>
              <w:rPr>
                <w:rFonts w:hint="eastAsia" w:asciiTheme="minorEastAsia" w:hAnsiTheme="minorEastAsia" w:cstheme="minorEastAsia"/>
                <w:color w:val="FF0000"/>
                <w:szCs w:val="21"/>
                <w:highlight w:val="yellow"/>
                <w:lang w:val="en-US" w:eastAsia="zh-CN"/>
              </w:rPr>
              <w:t>9</w:t>
            </w:r>
            <w:r>
              <w:rPr>
                <w:rFonts w:hint="eastAsia" w:asciiTheme="minorEastAsia" w:hAnsiTheme="minorEastAsia" w:cstheme="minorEastAsia"/>
                <w:color w:val="FF0000"/>
                <w:szCs w:val="21"/>
                <w:highlight w:val="yellow"/>
              </w:rPr>
              <w:t>月</w:t>
            </w:r>
            <w:r>
              <w:rPr>
                <w:rFonts w:hint="eastAsia" w:asciiTheme="minorEastAsia" w:hAnsiTheme="minorEastAsia" w:cstheme="minorEastAsia"/>
                <w:color w:val="FF0000"/>
                <w:szCs w:val="21"/>
                <w:highlight w:val="yellow"/>
                <w:lang w:val="en-US" w:eastAsia="zh-CN"/>
              </w:rPr>
              <w:t>18</w:t>
            </w:r>
            <w:r>
              <w:rPr>
                <w:rFonts w:hint="eastAsia" w:asciiTheme="minorEastAsia" w:hAnsiTheme="minorEastAsia" w:cstheme="minorEastAsia"/>
                <w:color w:val="FF0000"/>
                <w:szCs w:val="21"/>
                <w:highlight w:val="yellow"/>
              </w:rPr>
              <w:t>日17:00</w:t>
            </w:r>
            <w:r>
              <w:rPr>
                <w:rFonts w:hint="eastAsia" w:asciiTheme="minorEastAsia" w:hAnsiTheme="minorEastAsia" w:cstheme="minorEastAsia"/>
                <w:color w:val="000000" w:themeColor="text1"/>
                <w:szCs w:val="21"/>
                <w:highlight w:val="yellow"/>
                <w14:textFill>
                  <w14:solidFill>
                    <w14:schemeClr w14:val="tx1"/>
                  </w14:solidFill>
                </w14:textFill>
              </w:rPr>
              <w:t>前；</w:t>
            </w:r>
          </w:p>
          <w:p w14:paraId="42E61DA2">
            <w:pPr>
              <w:spacing w:line="400" w:lineRule="exact"/>
              <w:rPr>
                <w:rFonts w:asciiTheme="minorEastAsia" w:hAnsiTheme="minorEastAsia" w:cstheme="minorEastAsia"/>
                <w:color w:val="000000" w:themeColor="text1"/>
                <w:szCs w:val="21"/>
                <w14:textFill>
                  <w14:solidFill>
                    <w14:schemeClr w14:val="tx1"/>
                  </w14:solidFill>
                </w14:textFill>
              </w:rPr>
            </w:pPr>
          </w:p>
        </w:tc>
      </w:tr>
      <w:tr w14:paraId="64FA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3F2930E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6698D2C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06EA71D5">
            <w:pPr>
              <w:spacing w:line="480" w:lineRule="exact"/>
            </w:pPr>
            <w:bookmarkStart w:id="44" w:name="_GoBack"/>
            <w:bookmarkEnd w:id="44"/>
          </w:p>
        </w:tc>
      </w:tr>
      <w:tr w14:paraId="24B1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6D4DBC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2657C9A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4FC14683">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0444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69398CF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5DE7E10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3BBD882B">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3A8F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2B5C744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5CC1E21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3A38089D">
            <w:pPr>
              <w:rPr>
                <w:rFonts w:asciiTheme="minorEastAsia" w:hAnsiTheme="minorEastAsia" w:cstheme="minorEastAsia"/>
                <w:bCs/>
                <w:color w:val="FF0000"/>
                <w:szCs w:val="21"/>
              </w:rPr>
            </w:pPr>
            <w:r>
              <w:rPr>
                <w:rFonts w:hint="eastAsia" w:asciiTheme="minorEastAsia" w:hAnsiTheme="minorEastAsia" w:cstheme="minorEastAsia"/>
                <w:bCs/>
                <w:color w:val="auto"/>
                <w:szCs w:val="21"/>
                <w:highlight w:val="none"/>
              </w:rPr>
              <w:t>合同签订后15个工作日内一次性支付。</w:t>
            </w:r>
          </w:p>
        </w:tc>
      </w:tr>
      <w:tr w14:paraId="4621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E7181E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7DC59671">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2EB9F9A2">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4D6B539F">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4A11A99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56D9AD1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38681E8C">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1AF3A15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694E7480">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22E44B31">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2A5F08B0">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34FBC89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137D5A5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7787120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5DAA1FA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50E5271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7CADD1B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2A9E977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162750E8">
      <w:pPr>
        <w:rPr>
          <w:rFonts w:asciiTheme="minorEastAsia" w:hAnsiTheme="minorEastAsia" w:cstheme="minorEastAsia"/>
          <w:b/>
          <w:bCs/>
          <w:color w:val="000000" w:themeColor="text1"/>
          <w:sz w:val="28"/>
          <w:szCs w:val="28"/>
          <w14:textFill>
            <w14:solidFill>
              <w14:schemeClr w14:val="tx1"/>
            </w14:solidFill>
          </w14:textFill>
        </w:rPr>
      </w:pPr>
    </w:p>
    <w:p w14:paraId="25467A49">
      <w:pPr>
        <w:jc w:val="center"/>
        <w:rPr>
          <w:rFonts w:asciiTheme="minorEastAsia" w:hAnsiTheme="minorEastAsia" w:cstheme="minorEastAsia"/>
          <w:b/>
          <w:bCs/>
          <w:color w:val="000000" w:themeColor="text1"/>
          <w:sz w:val="28"/>
          <w:szCs w:val="28"/>
          <w14:textFill>
            <w14:solidFill>
              <w14:schemeClr w14:val="tx1"/>
            </w14:solidFill>
          </w14:textFill>
        </w:rPr>
      </w:pPr>
    </w:p>
    <w:p w14:paraId="612725FB">
      <w:pPr>
        <w:jc w:val="center"/>
        <w:rPr>
          <w:rFonts w:asciiTheme="minorEastAsia" w:hAnsiTheme="minorEastAsia" w:cstheme="minorEastAsia"/>
          <w:b/>
          <w:bCs/>
          <w:color w:val="000000" w:themeColor="text1"/>
          <w:sz w:val="28"/>
          <w:szCs w:val="28"/>
          <w14:textFill>
            <w14:solidFill>
              <w14:schemeClr w14:val="tx1"/>
            </w14:solidFill>
          </w14:textFill>
        </w:rPr>
      </w:pPr>
    </w:p>
    <w:p w14:paraId="5E0FD047">
      <w:pPr>
        <w:jc w:val="center"/>
        <w:rPr>
          <w:rFonts w:asciiTheme="minorEastAsia" w:hAnsiTheme="minorEastAsia" w:cstheme="minorEastAsia"/>
          <w:b/>
          <w:bCs/>
          <w:color w:val="000000" w:themeColor="text1"/>
          <w:sz w:val="28"/>
          <w:szCs w:val="28"/>
          <w14:textFill>
            <w14:solidFill>
              <w14:schemeClr w14:val="tx1"/>
            </w14:solidFill>
          </w14:textFill>
        </w:rPr>
      </w:pPr>
    </w:p>
    <w:p w14:paraId="595E5A9D">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55B48EEA">
      <w:pPr>
        <w:pStyle w:val="4"/>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2508BA4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67B9FC5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6B368F2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1F165258">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2DDCC3B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1DE8E72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35F7119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4320FE9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2A33578B">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7B45FCC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01D8699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2242688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2D949CD7">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2A63A8B3">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09802C6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3757901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4CEE28D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03DFF66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180AAB1D">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531FA7A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30D228C6">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4654484D">
      <w:pPr>
        <w:pStyle w:val="6"/>
        <w:ind w:right="-21" w:firstLine="540"/>
        <w:rPr>
          <w:color w:val="000000" w:themeColor="text1"/>
          <w14:textFill>
            <w14:solidFill>
              <w14:schemeClr w14:val="tx1"/>
            </w14:solidFill>
          </w14:textFill>
        </w:rPr>
      </w:pPr>
    </w:p>
    <w:p w14:paraId="21EC800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6FC0F129">
      <w:pPr>
        <w:spacing w:line="440" w:lineRule="exact"/>
        <w:ind w:firstLine="470" w:firstLineChars="224"/>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401704FA">
      <w:pPr>
        <w:spacing w:line="440" w:lineRule="exact"/>
        <w:rPr>
          <w:rFonts w:asciiTheme="minorEastAsia" w:hAnsiTheme="minorEastAsia" w:cstheme="minorEastAsia"/>
          <w:b/>
          <w:color w:val="000000" w:themeColor="text1"/>
          <w:szCs w:val="21"/>
          <w14:textFill>
            <w14:solidFill>
              <w14:schemeClr w14:val="tx1"/>
            </w14:solidFill>
          </w14:textFill>
        </w:rPr>
      </w:pPr>
    </w:p>
    <w:p w14:paraId="6F8A198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10B6B36F">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614B0B4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7BBB7FCD">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22E3E8F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3753190A">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4A39CD8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40FE675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25505"/>
      <w:bookmarkStart w:id="7" w:name="_Toc3582"/>
      <w:bookmarkStart w:id="8" w:name="_Toc22226"/>
      <w:bookmarkStart w:id="9" w:name="_Toc448070713"/>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2427B75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17FB9058">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1EE36DB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482DE34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6E62AD81">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7DDE7A84">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57026071">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211EE91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3A07C91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448070714"/>
      <w:bookmarkStart w:id="11" w:name="_Toc4534"/>
      <w:bookmarkStart w:id="12" w:name="_Toc27516"/>
      <w:bookmarkStart w:id="13" w:name="_Toc21962"/>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42B9862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D8CA11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105230F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4D5A884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76BE6550">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11B3CC0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2074D14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33FF026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6F5B71B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1F9982B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01EEC04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046654F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723C15B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7A3AD5D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792E8B3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3449492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658763A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4</w:t>
      </w:r>
      <w:r>
        <w:rPr>
          <w:rFonts w:hint="eastAsia" w:asciiTheme="minorEastAsia" w:hAnsiTheme="minorEastAsia" w:cstheme="minorEastAsia"/>
          <w:b/>
          <w:color w:val="000000" w:themeColor="text1"/>
          <w:szCs w:val="21"/>
          <w14:textFill>
            <w14:solidFill>
              <w14:schemeClr w14:val="tx1"/>
            </w14:solidFill>
          </w14:textFill>
        </w:rPr>
        <w:t>.询价原则</w:t>
      </w:r>
    </w:p>
    <w:p w14:paraId="0AE92D4B">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6D29D00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4.1</w:t>
      </w:r>
      <w:r>
        <w:rPr>
          <w:rFonts w:hint="eastAsia" w:asciiTheme="minorEastAsia" w:hAnsiTheme="minorEastAsia" w:cstheme="minorEastAsia"/>
          <w:b/>
          <w:color w:val="000000" w:themeColor="text1"/>
          <w:szCs w:val="21"/>
          <w14:textFill>
            <w14:solidFill>
              <w14:schemeClr w14:val="tx1"/>
            </w14:solidFill>
          </w14:textFill>
        </w:rPr>
        <w:t>评审</w:t>
      </w:r>
    </w:p>
    <w:p w14:paraId="2BDA46F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05722E76">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9575"/>
      <w:bookmarkStart w:id="15" w:name="_Toc448070718"/>
      <w:bookmarkStart w:id="16" w:name="_Toc24553"/>
      <w:bookmarkStart w:id="17" w:name="_Toc29526"/>
      <w:r>
        <w:rPr>
          <w:rFonts w:hint="eastAsia" w:asciiTheme="minorEastAsia" w:hAnsi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cstheme="minorEastAsia"/>
          <w:color w:val="000000" w:themeColor="text1"/>
          <w:sz w:val="21"/>
          <w:szCs w:val="21"/>
          <w14:textFill>
            <w14:solidFill>
              <w14:schemeClr w14:val="tx1"/>
            </w14:solidFill>
          </w14:textFill>
        </w:rPr>
        <w:t>．合同授予</w:t>
      </w:r>
      <w:bookmarkEnd w:id="14"/>
      <w:bookmarkEnd w:id="15"/>
      <w:bookmarkEnd w:id="16"/>
      <w:bookmarkEnd w:id="17"/>
    </w:p>
    <w:p w14:paraId="486D95A9">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5.</w:t>
      </w:r>
      <w:r>
        <w:rPr>
          <w:rFonts w:hint="eastAsia" w:asciiTheme="minorEastAsia" w:hAnsiTheme="minorEastAsia" w:cstheme="minorEastAsia"/>
          <w:b/>
          <w:color w:val="000000" w:themeColor="text1"/>
          <w:szCs w:val="21"/>
          <w14:textFill>
            <w14:solidFill>
              <w14:schemeClr w14:val="tx1"/>
            </w14:solidFill>
          </w14:textFill>
        </w:rPr>
        <w:t>1合同授予标准</w:t>
      </w:r>
    </w:p>
    <w:p w14:paraId="08006388">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1FE2F0A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.1.2成交公告</w:t>
      </w:r>
    </w:p>
    <w:p w14:paraId="3EFEF6FD">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0996CC30">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.1.3询价结束后根据需要，有可能对成交人进行考察。在考察过程中，发现有弄虚作假、业绩不实、挂靠、违法转包等行为的，取消其成交人资格。</w:t>
      </w:r>
    </w:p>
    <w:p w14:paraId="1EE9140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.1.4最低报价并不是被授予合同的保证。</w:t>
      </w:r>
    </w:p>
    <w:p w14:paraId="715AFEFB">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6</w:t>
      </w:r>
      <w:r>
        <w:rPr>
          <w:rFonts w:hint="eastAsia" w:asciiTheme="minorEastAsia" w:hAnsiTheme="minorEastAsia" w:cstheme="minorEastAsia"/>
          <w:b/>
          <w:color w:val="000000" w:themeColor="text1"/>
          <w:szCs w:val="21"/>
          <w14:textFill>
            <w14:solidFill>
              <w14:schemeClr w14:val="tx1"/>
            </w14:solidFill>
          </w14:textFill>
        </w:rPr>
        <w:t>.成交通知书</w:t>
      </w:r>
    </w:p>
    <w:p w14:paraId="2887B15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6</w:t>
      </w:r>
      <w:r>
        <w:rPr>
          <w:rFonts w:hint="eastAsia" w:asciiTheme="minorEastAsia" w:hAnsiTheme="minorEastAsia" w:cstheme="minorEastAsia"/>
          <w:color w:val="000000" w:themeColor="text1"/>
          <w:szCs w:val="21"/>
          <w14:textFill>
            <w14:solidFill>
              <w14:schemeClr w14:val="tx1"/>
            </w14:solidFill>
          </w14:textFill>
        </w:rPr>
        <w:t>.</w:t>
      </w:r>
      <w:r>
        <w:rPr>
          <w:rFonts w:hint="eastAsia" w:asciiTheme="minorEastAsia" w:hAnsiTheme="minorEastAsia" w:cstheme="minorEastAsia"/>
          <w:color w:val="000000" w:themeColor="text1"/>
          <w:szCs w:val="21"/>
          <w:lang w:val="en-US" w:eastAsia="zh-CN"/>
          <w14:textFill>
            <w14:solidFill>
              <w14:schemeClr w14:val="tx1"/>
            </w14:solidFill>
          </w14:textFill>
        </w:rPr>
        <w:t>1</w:t>
      </w:r>
      <w:r>
        <w:rPr>
          <w:rFonts w:hint="eastAsia" w:asciiTheme="minorEastAsia" w:hAnsiTheme="minorEastAsia" w:cstheme="minorEastAsia"/>
          <w:color w:val="000000" w:themeColor="text1"/>
          <w:szCs w:val="21"/>
          <w14:textFill>
            <w14:solidFill>
              <w14:schemeClr w14:val="tx1"/>
            </w14:solidFill>
          </w14:textFill>
        </w:rPr>
        <w:t>.1在响应有效期满之前将以书面形式通知成交人，其响应已被接受。</w:t>
      </w:r>
    </w:p>
    <w:p w14:paraId="2F77C541">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6</w:t>
      </w:r>
      <w:r>
        <w:rPr>
          <w:rFonts w:hint="eastAsia" w:asciiTheme="minorEastAsia" w:hAnsiTheme="minorEastAsia" w:cstheme="minorEastAsia"/>
          <w:b/>
          <w:color w:val="000000" w:themeColor="text1"/>
          <w:szCs w:val="21"/>
          <w14:textFill>
            <w14:solidFill>
              <w14:schemeClr w14:val="tx1"/>
            </w14:solidFill>
          </w14:textFill>
        </w:rPr>
        <w:t>.2.2采购人将不对成交和未成交的原因做任何解释。</w:t>
      </w:r>
    </w:p>
    <w:p w14:paraId="084DC36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7.</w:t>
      </w:r>
      <w:r>
        <w:rPr>
          <w:rFonts w:hint="eastAsia" w:asciiTheme="minorEastAsia" w:hAnsiTheme="minorEastAsia" w:cstheme="minorEastAsia"/>
          <w:b/>
          <w:color w:val="000000" w:themeColor="text1"/>
          <w:szCs w:val="21"/>
          <w14:textFill>
            <w14:solidFill>
              <w14:schemeClr w14:val="tx1"/>
            </w14:solidFill>
          </w14:textFill>
        </w:rPr>
        <w:t>签订合同</w:t>
      </w:r>
    </w:p>
    <w:p w14:paraId="5A9548D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r>
        <w:rPr>
          <w:rFonts w:hint="eastAsia" w:asciiTheme="minorEastAsia" w:hAnsiTheme="minorEastAsia" w:cstheme="minorEastAsia"/>
          <w:color w:val="000000" w:themeColor="text1"/>
          <w:szCs w:val="21"/>
          <w:lang w:val="en-US" w:eastAsia="zh-CN"/>
          <w14:textFill>
            <w14:solidFill>
              <w14:schemeClr w14:val="tx1"/>
            </w14:solidFill>
          </w14:textFill>
        </w:rPr>
        <w:t>1</w:t>
      </w:r>
      <w:r>
        <w:rPr>
          <w:rFonts w:hint="eastAsia" w:asciiTheme="minorEastAsia" w:hAnsiTheme="minorEastAsia" w:cstheme="minorEastAsia"/>
          <w:color w:val="000000" w:themeColor="text1"/>
          <w:szCs w:val="21"/>
          <w14:textFill>
            <w14:solidFill>
              <w14:schemeClr w14:val="tx1"/>
            </w14:solidFill>
          </w14:textFill>
        </w:rPr>
        <w:t>.1成交人应在成交通知书发出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39ED8E7E">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16EA67C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05FBBFDA">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0864E85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6560AE00">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7002"/>
      <w:bookmarkStart w:id="19" w:name="_Toc18156"/>
      <w:bookmarkStart w:id="20" w:name="_Toc18742"/>
      <w:bookmarkStart w:id="21" w:name="_Toc448070719"/>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62FCC7A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2EDF93A2">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6361250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0073F9A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26807256">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3C6616B7">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394B120B">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2D6DE0A7">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58888114">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0A78EA8D">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17119"/>
      <w:bookmarkStart w:id="25" w:name="_Toc22291"/>
      <w:bookmarkStart w:id="26" w:name="_Toc23111"/>
      <w:bookmarkStart w:id="27" w:name="_Toc448070720"/>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5C6B6FE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24679ED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33F7370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3F85C68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2E83C730">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497A6D8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1E830544">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7B3BD4CF">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14FBD2A2">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7EDB27D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5FDF41E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1B9B693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33C7B5F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6093BF4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18DFDEF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443887B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3D56C47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1C7F363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159B3B1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24003E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688E4BE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5995E4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0EBBF1B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1B7288C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716BDB1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373BBAE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6A8C9A5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1D24BE9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3F2DE20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4FDBD73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2EB64FB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357E1CFC">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7D00B4BF">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57F69A0F">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44D23EB3">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3E4AE3FC">
      <w:pPr>
        <w:pStyle w:val="4"/>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448070722"/>
      <w:bookmarkStart w:id="29" w:name="_Toc27029"/>
      <w:bookmarkStart w:id="30" w:name="_Toc13310"/>
      <w:bookmarkStart w:id="31" w:name="_Toc7324"/>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3370922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5E71B55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4A9F2022">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54BC5792">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1AF29CC0">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55B4C6E0">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76CAF185">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6C8FDC2D">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22A76796">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2BE67F5D">
      <w:pPr>
        <w:pStyle w:val="14"/>
        <w:ind w:right="-21" w:firstLine="0" w:firstLineChars="0"/>
        <w:rPr>
          <w:rFonts w:asciiTheme="minorEastAsia" w:hAnsiTheme="minorEastAsia" w:cstheme="minorEastAsia"/>
          <w:color w:val="000000" w:themeColor="text1"/>
          <w:szCs w:val="21"/>
          <w14:textFill>
            <w14:solidFill>
              <w14:schemeClr w14:val="tx1"/>
            </w14:solidFill>
          </w14:textFill>
        </w:rPr>
      </w:pPr>
    </w:p>
    <w:p w14:paraId="2511B92D">
      <w:pPr>
        <w:pStyle w:val="14"/>
        <w:ind w:right="-21" w:firstLine="0" w:firstLineChars="0"/>
        <w:rPr>
          <w:rFonts w:asciiTheme="minorEastAsia" w:hAnsiTheme="minorEastAsia" w:cstheme="minorEastAsia"/>
          <w:color w:val="000000" w:themeColor="text1"/>
          <w:szCs w:val="21"/>
          <w14:textFill>
            <w14:solidFill>
              <w14:schemeClr w14:val="tx1"/>
            </w14:solidFill>
          </w14:textFill>
        </w:rPr>
      </w:pPr>
    </w:p>
    <w:p w14:paraId="1C748951">
      <w:pPr>
        <w:pStyle w:val="14"/>
        <w:ind w:right="-21" w:firstLine="0" w:firstLineChars="0"/>
        <w:rPr>
          <w:rFonts w:asciiTheme="minorEastAsia" w:hAnsiTheme="minorEastAsia" w:cstheme="minorEastAsia"/>
          <w:color w:val="000000" w:themeColor="text1"/>
          <w:szCs w:val="21"/>
          <w14:textFill>
            <w14:solidFill>
              <w14:schemeClr w14:val="tx1"/>
            </w14:solidFill>
          </w14:textFill>
        </w:rPr>
      </w:pPr>
    </w:p>
    <w:p w14:paraId="4E6AEE82">
      <w:pPr>
        <w:pStyle w:val="14"/>
        <w:ind w:right="-21" w:firstLine="0" w:firstLineChars="0"/>
        <w:rPr>
          <w:rFonts w:asciiTheme="minorEastAsia" w:hAnsiTheme="minorEastAsia" w:cstheme="minorEastAsia"/>
          <w:color w:val="000000" w:themeColor="text1"/>
          <w:szCs w:val="21"/>
          <w14:textFill>
            <w14:solidFill>
              <w14:schemeClr w14:val="tx1"/>
            </w14:solidFill>
          </w14:textFill>
        </w:rPr>
      </w:pPr>
    </w:p>
    <w:p w14:paraId="6EA82652">
      <w:pPr>
        <w:pStyle w:val="14"/>
        <w:ind w:right="-21" w:firstLine="0" w:firstLineChars="0"/>
        <w:rPr>
          <w:rFonts w:asciiTheme="minorEastAsia" w:hAnsiTheme="minorEastAsia" w:cstheme="minorEastAsia"/>
          <w:color w:val="000000" w:themeColor="text1"/>
          <w:szCs w:val="21"/>
          <w14:textFill>
            <w14:solidFill>
              <w14:schemeClr w14:val="tx1"/>
            </w14:solidFill>
          </w14:textFill>
        </w:rPr>
      </w:pPr>
    </w:p>
    <w:p w14:paraId="3008F2A6">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758FF79B">
      <w:pPr>
        <w:pStyle w:val="2"/>
        <w:spacing w:line="360" w:lineRule="auto"/>
        <w:jc w:val="center"/>
        <w:rPr>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1A80BA4C">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6"/>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7AB6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27A26781">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0ED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3BD52CDD">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6F63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10FF69FC">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71C6EF9F">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66AE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37E6E00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5CD72E0E">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6C4DDA0C">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2183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6B1F809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6B75C93F">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63A81559">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2ED6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3AD68E32">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04BD3574">
            <w:pPr>
              <w:jc w:val="center"/>
              <w:rPr>
                <w:rFonts w:ascii="宋体" w:hAnsi="宋体" w:eastAsia="宋体" w:cs="宋体"/>
                <w:szCs w:val="21"/>
              </w:rPr>
            </w:pPr>
            <w:r>
              <w:rPr>
                <w:rFonts w:hint="eastAsia" w:ascii="宋体" w:hAnsi="宋体" w:eastAsia="宋体" w:cs="宋体"/>
                <w:szCs w:val="21"/>
                <w:highlight w:val="yellow"/>
              </w:rPr>
              <w:t>行业监管部门颁发的保险许可证</w:t>
            </w:r>
          </w:p>
        </w:tc>
        <w:tc>
          <w:tcPr>
            <w:tcW w:w="6018" w:type="dxa"/>
            <w:vAlign w:val="center"/>
          </w:tcPr>
          <w:p w14:paraId="09068392">
            <w:pPr>
              <w:jc w:val="center"/>
              <w:rPr>
                <w:rFonts w:ascii="宋体" w:hAnsi="宋体" w:eastAsia="宋体" w:cs="宋体"/>
                <w:szCs w:val="21"/>
              </w:rPr>
            </w:pPr>
            <w:r>
              <w:rPr>
                <w:rFonts w:hint="eastAsia" w:ascii="宋体" w:hAnsi="宋体" w:eastAsia="宋体" w:cs="宋体"/>
                <w:szCs w:val="21"/>
                <w:highlight w:val="yellow"/>
              </w:rPr>
              <w:t>提供行业监管部门颁发的保险许可证扫描件</w:t>
            </w:r>
          </w:p>
        </w:tc>
      </w:tr>
      <w:tr w14:paraId="0F99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05F5877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4E8CDBB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6D3C9EB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6627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134AF18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75B2A2F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3A6324B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C99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7888295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5AAC951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2B1C101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315E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134A2AD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46D905C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71575A4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55A2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7D76CC5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4AD08B8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74A5E9B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12C7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43CD5FA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3ACA20B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68B0200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708C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3862A44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6EEBB49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62A47FF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3779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4C5F2740">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337EED25">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62AB55DC">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7BD7C23E">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9</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1</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w:t>
      </w:r>
    </w:p>
    <w:tbl>
      <w:tblPr>
        <w:tblStyle w:val="17"/>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201"/>
        <w:gridCol w:w="7184"/>
        <w:gridCol w:w="849"/>
      </w:tblGrid>
      <w:tr w14:paraId="0B09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F08029">
            <w:pPr>
              <w:spacing w:line="420" w:lineRule="exact"/>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1D1A99">
            <w:pPr>
              <w:spacing w:line="420" w:lineRule="exact"/>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EB6C63">
            <w:pPr>
              <w:jc w:val="cente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48E245">
            <w:pPr>
              <w:spacing w:line="420" w:lineRule="exact"/>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满分值</w:t>
            </w:r>
          </w:p>
        </w:tc>
      </w:tr>
      <w:tr w14:paraId="110E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FFBE280">
            <w:pPr>
              <w:spacing w:line="420" w:lineRule="exact"/>
              <w:jc w:val="left"/>
              <w:rPr>
                <w:rFonts w:ascii="宋体" w:hAnsi="宋体"/>
                <w:color w:val="auto"/>
                <w:szCs w:val="21"/>
                <w:highlight w:val="none"/>
                <w:shd w:val="clear" w:color="auto" w:fill="FFFFFF"/>
              </w:rPr>
            </w:pPr>
            <w:r>
              <w:rPr>
                <w:rFonts w:ascii="宋体" w:hAnsi="宋体"/>
                <w:b/>
                <w:bCs/>
                <w:color w:val="auto"/>
                <w:szCs w:val="21"/>
                <w:highlight w:val="none"/>
                <w:shd w:val="clear" w:color="auto" w:fill="FFFFFF"/>
              </w:rPr>
              <w:t>技 术</w:t>
            </w:r>
            <w:r>
              <w:rPr>
                <w:rFonts w:hint="eastAsia" w:ascii="宋体" w:hAnsi="宋体"/>
                <w:b/>
                <w:bCs/>
                <w:color w:val="auto"/>
                <w:szCs w:val="21"/>
                <w:highlight w:val="none"/>
                <w:shd w:val="clear" w:color="auto" w:fill="FFFFFF"/>
                <w:lang w:val="en-US" w:eastAsia="zh-CN"/>
              </w:rPr>
              <w:t xml:space="preserve"> </w:t>
            </w:r>
            <w:r>
              <w:rPr>
                <w:rFonts w:hint="eastAsia" w:ascii="宋体" w:hAnsi="宋体"/>
                <w:b/>
                <w:bCs/>
                <w:color w:val="auto"/>
                <w:szCs w:val="21"/>
                <w:highlight w:val="none"/>
                <w:shd w:val="clear" w:color="auto" w:fill="FFFFFF"/>
                <w:lang w:eastAsia="zh-CN"/>
              </w:rPr>
              <w:t>资</w:t>
            </w:r>
            <w:r>
              <w:rPr>
                <w:rFonts w:hint="eastAsia" w:ascii="宋体" w:hAnsi="宋体"/>
                <w:b/>
                <w:bCs/>
                <w:color w:val="auto"/>
                <w:szCs w:val="21"/>
                <w:highlight w:val="none"/>
                <w:shd w:val="clear" w:color="auto" w:fill="FFFFFF"/>
                <w:lang w:val="en-US" w:eastAsia="zh-CN"/>
              </w:rPr>
              <w:t xml:space="preserve"> </w:t>
            </w:r>
            <w:r>
              <w:rPr>
                <w:rFonts w:hint="eastAsia" w:ascii="宋体" w:hAnsi="宋体"/>
                <w:b/>
                <w:bCs/>
                <w:color w:val="auto"/>
                <w:szCs w:val="21"/>
                <w:highlight w:val="none"/>
                <w:shd w:val="clear" w:color="auto" w:fill="FFFFFF"/>
                <w:lang w:eastAsia="zh-CN"/>
              </w:rPr>
              <w:t>信</w:t>
            </w:r>
            <w:r>
              <w:rPr>
                <w:rFonts w:ascii="宋体" w:hAnsi="宋体"/>
                <w:b/>
                <w:bCs/>
                <w:color w:val="auto"/>
                <w:szCs w:val="21"/>
                <w:highlight w:val="none"/>
                <w:shd w:val="clear" w:color="auto" w:fill="FFFFFF"/>
              </w:rPr>
              <w:t xml:space="preserve"> 部 分（</w:t>
            </w:r>
            <w:r>
              <w:rPr>
                <w:rFonts w:hint="eastAsia" w:ascii="宋体" w:hAnsi="宋体"/>
                <w:b/>
                <w:bCs/>
                <w:color w:val="auto"/>
                <w:szCs w:val="21"/>
                <w:highlight w:val="none"/>
                <w:shd w:val="clear" w:color="auto" w:fill="FFFFFF"/>
                <w:lang w:val="en-US" w:eastAsia="zh-CN"/>
              </w:rPr>
              <w:t>90</w:t>
            </w:r>
            <w:r>
              <w:rPr>
                <w:rFonts w:ascii="宋体" w:hAnsi="宋体"/>
                <w:b/>
                <w:bCs/>
                <w:color w:val="auto"/>
                <w:szCs w:val="21"/>
                <w:highlight w:val="none"/>
                <w:shd w:val="clear" w:color="auto" w:fill="FFFFFF"/>
              </w:rPr>
              <w:t>分）</w:t>
            </w:r>
          </w:p>
        </w:tc>
      </w:tr>
      <w:tr w14:paraId="5145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8E5ECF">
            <w:pPr>
              <w:spacing w:line="420" w:lineRule="exact"/>
              <w:jc w:val="center"/>
              <w:rPr>
                <w:rFonts w:ascii="宋体" w:hAnsi="宋体" w:eastAsiaTheme="minorEastAsia" w:cstheme="minorBidi"/>
                <w:color w:val="auto"/>
                <w:kern w:val="2"/>
                <w:sz w:val="21"/>
                <w:szCs w:val="21"/>
                <w:highlight w:val="none"/>
                <w:shd w:val="clear" w:color="auto" w:fill="FFFFFF"/>
                <w:lang w:val="en-US" w:eastAsia="zh-CN" w:bidi="ar-SA"/>
              </w:rPr>
            </w:pPr>
            <w:r>
              <w:rPr>
                <w:rFonts w:ascii="宋体" w:hAnsi="宋体"/>
                <w:color w:val="auto"/>
                <w:szCs w:val="21"/>
                <w:highlight w:val="none"/>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40DF9A">
            <w:pPr>
              <w:spacing w:line="420" w:lineRule="exact"/>
              <w:jc w:val="cente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eastAsia="zh-CN"/>
              </w:rPr>
              <w:t>供应商实力</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66A6E8">
            <w:pPr>
              <w:spacing w:line="420" w:lineRule="exact"/>
              <w:jc w:val="left"/>
              <w:rPr>
                <w:rFonts w:hint="eastAsia"/>
                <w:color w:val="auto"/>
                <w:sz w:val="21"/>
                <w:szCs w:val="21"/>
                <w:highlight w:val="none"/>
                <w:lang w:eastAsia="zh-CN"/>
              </w:rPr>
            </w:pPr>
            <w:r>
              <w:rPr>
                <w:rFonts w:hint="eastAsia"/>
                <w:color w:val="auto"/>
                <w:sz w:val="21"/>
                <w:szCs w:val="21"/>
                <w:highlight w:val="none"/>
                <w:lang w:eastAsia="zh-CN"/>
              </w:rPr>
              <w:t>①供应商总公司 2025 年度综合偿付能力充足率在 200%以上的，得 10 分；综合偿付能力充足率在150-200%（含）的得 8 分；综合偿付能力充足率在综合偿付能力充足率 100%-150%（含）的得 5 分；其余不得分 。</w:t>
            </w:r>
          </w:p>
          <w:p w14:paraId="3158ACEA">
            <w:pPr>
              <w:spacing w:line="420" w:lineRule="exact"/>
              <w:jc w:val="left"/>
              <w:rPr>
                <w:rFonts w:hint="eastAsia"/>
                <w:color w:val="auto"/>
                <w:sz w:val="21"/>
                <w:szCs w:val="21"/>
                <w:highlight w:val="none"/>
                <w:lang w:eastAsia="zh-CN"/>
              </w:rPr>
            </w:pPr>
            <w:r>
              <w:rPr>
                <w:rFonts w:hint="eastAsia"/>
                <w:color w:val="auto"/>
                <w:sz w:val="21"/>
                <w:szCs w:val="21"/>
                <w:highlight w:val="none"/>
                <w:lang w:eastAsia="zh-CN"/>
              </w:rPr>
              <w:t>②供应商总公司 2025 年的风险综合评级排序：A 类：10 分；B 类：6 分；C 类、D 类不得分。</w:t>
            </w:r>
          </w:p>
          <w:p w14:paraId="6B2D5E1F">
            <w:pPr>
              <w:spacing w:line="420" w:lineRule="exact"/>
              <w:jc w:val="left"/>
              <w:rPr>
                <w:rFonts w:hint="eastAsia" w:eastAsiaTheme="minorEastAsia"/>
                <w:color w:val="auto"/>
                <w:highlight w:val="none"/>
                <w:lang w:eastAsia="zh-CN"/>
              </w:rPr>
            </w:pPr>
            <w:r>
              <w:rPr>
                <w:rFonts w:hint="eastAsia"/>
                <w:color w:val="auto"/>
                <w:sz w:val="21"/>
                <w:szCs w:val="21"/>
                <w:highlight w:val="none"/>
                <w:lang w:eastAsia="zh-CN"/>
              </w:rPr>
              <w:t>备注：提供供应商或其总公司在官方网站或者中国保险行业协会网站披露的信息报告及相关证明资料复印件或扫描件加盖供应商公章。</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4F8565">
            <w:pPr>
              <w:spacing w:line="420" w:lineRule="exact"/>
              <w:jc w:val="cente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eastAsia="zh-CN"/>
              </w:rPr>
              <w:t>满分</w:t>
            </w:r>
            <w:r>
              <w:rPr>
                <w:rFonts w:hint="eastAsia" w:ascii="宋体" w:hAnsi="宋体"/>
                <w:color w:val="auto"/>
                <w:szCs w:val="21"/>
                <w:highlight w:val="none"/>
                <w:shd w:val="clear" w:color="auto" w:fill="FFFFFF"/>
                <w:lang w:val="en-US" w:eastAsia="zh-CN"/>
              </w:rPr>
              <w:t>20</w:t>
            </w:r>
            <w:r>
              <w:rPr>
                <w:rFonts w:ascii="宋体" w:hAnsi="宋体"/>
                <w:color w:val="auto"/>
                <w:szCs w:val="21"/>
                <w:highlight w:val="none"/>
                <w:shd w:val="clear" w:color="auto" w:fill="FFFFFF"/>
              </w:rPr>
              <w:t>分</w:t>
            </w:r>
          </w:p>
        </w:tc>
      </w:tr>
      <w:tr w14:paraId="6E994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0A1C4C">
            <w:pPr>
              <w:spacing w:line="420" w:lineRule="exact"/>
              <w:jc w:val="center"/>
              <w:rPr>
                <w:rFonts w:hint="eastAsia" w:ascii="宋体" w:hAnsi="宋体" w:eastAsiaTheme="minorEastAsia"/>
                <w:color w:val="auto"/>
                <w:szCs w:val="21"/>
                <w:highlight w:val="none"/>
                <w:shd w:val="clear" w:color="auto" w:fill="FFFFFF"/>
                <w:lang w:val="en-US" w:eastAsia="zh-CN"/>
              </w:rPr>
            </w:pPr>
            <w:r>
              <w:rPr>
                <w:rFonts w:hint="eastAsia" w:ascii="宋体" w:hAnsi="宋体"/>
                <w:color w:val="auto"/>
                <w:szCs w:val="21"/>
                <w:highlight w:val="none"/>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DA3725">
            <w:pPr>
              <w:spacing w:line="420" w:lineRule="exact"/>
              <w:jc w:val="center"/>
              <w:rPr>
                <w:rFonts w:hint="eastAsia" w:ascii="宋体" w:hAnsi="宋体"/>
                <w:color w:val="auto"/>
                <w:szCs w:val="21"/>
                <w:highlight w:val="none"/>
                <w:shd w:val="clear" w:color="auto" w:fill="FFFFFF"/>
                <w:lang w:eastAsia="zh-CN"/>
              </w:rPr>
            </w:pPr>
            <w:r>
              <w:rPr>
                <w:rFonts w:hint="eastAsia" w:ascii="宋体" w:hAnsi="宋体"/>
                <w:color w:val="auto"/>
                <w:szCs w:val="21"/>
                <w:highlight w:val="none"/>
                <w:shd w:val="clear" w:color="auto" w:fill="FFFFFF"/>
                <w:lang w:eastAsia="zh-CN"/>
              </w:rPr>
              <w:t>供应商</w:t>
            </w:r>
          </w:p>
          <w:p w14:paraId="2DD03C94">
            <w:pPr>
              <w:spacing w:line="420" w:lineRule="exact"/>
              <w:jc w:val="center"/>
              <w:rPr>
                <w:rFonts w:hint="eastAsia" w:ascii="宋体" w:hAnsi="宋体"/>
                <w:color w:val="auto"/>
                <w:szCs w:val="21"/>
                <w:highlight w:val="none"/>
                <w:shd w:val="clear" w:color="auto" w:fill="FFFFFF"/>
                <w:lang w:eastAsia="zh-CN"/>
              </w:rPr>
            </w:pPr>
            <w:r>
              <w:rPr>
                <w:rFonts w:hint="eastAsia" w:ascii="宋体" w:hAnsi="宋体"/>
                <w:color w:val="auto"/>
                <w:szCs w:val="21"/>
                <w:highlight w:val="none"/>
                <w:shd w:val="clear" w:color="auto" w:fill="FFFFFF"/>
                <w:lang w:eastAsia="zh-CN"/>
              </w:rPr>
              <w:t>业绩</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87B1B8">
            <w:pPr>
              <w:spacing w:line="360" w:lineRule="auto"/>
              <w:rPr>
                <w:rFonts w:hint="eastAsia"/>
                <w:color w:val="auto"/>
              </w:rPr>
            </w:pPr>
            <w:r>
              <w:rPr>
                <w:rFonts w:hint="eastAsia"/>
                <w:color w:val="auto"/>
              </w:rPr>
              <w:t>自</w:t>
            </w:r>
            <w:r>
              <w:rPr>
                <w:rFonts w:hint="eastAsia"/>
                <w:color w:val="auto"/>
                <w:lang w:val="en-US" w:eastAsia="zh-CN"/>
              </w:rPr>
              <w:t>2023</w:t>
            </w:r>
            <w:r>
              <w:rPr>
                <w:rFonts w:hint="eastAsia"/>
                <w:color w:val="auto"/>
              </w:rPr>
              <w:t>年1月1日起（以合同签订时间为准），具有公众责任险</w:t>
            </w:r>
            <w:r>
              <w:rPr>
                <w:rFonts w:hint="eastAsia"/>
                <w:color w:val="auto"/>
                <w:lang w:eastAsia="zh-CN"/>
              </w:rPr>
              <w:t>服务</w:t>
            </w:r>
            <w:r>
              <w:rPr>
                <w:rFonts w:hint="eastAsia"/>
                <w:color w:val="auto"/>
              </w:rPr>
              <w:t>业绩的，每提供一个业绩得</w:t>
            </w:r>
            <w:r>
              <w:rPr>
                <w:rFonts w:hint="eastAsia"/>
                <w:color w:val="auto"/>
                <w:lang w:val="en-US" w:eastAsia="zh-CN"/>
              </w:rPr>
              <w:t>5</w:t>
            </w:r>
            <w:r>
              <w:rPr>
                <w:rFonts w:hint="eastAsia"/>
                <w:color w:val="auto"/>
              </w:rPr>
              <w:t>分，</w:t>
            </w:r>
            <w:r>
              <w:rPr>
                <w:rFonts w:hint="eastAsia"/>
                <w:color w:val="auto"/>
                <w:lang w:eastAsia="zh-CN"/>
              </w:rPr>
              <w:t>满分</w:t>
            </w:r>
            <w:r>
              <w:rPr>
                <w:rFonts w:hint="eastAsia"/>
                <w:color w:val="auto"/>
                <w:lang w:val="en-US" w:eastAsia="zh-CN"/>
              </w:rPr>
              <w:t>20分</w:t>
            </w:r>
            <w:r>
              <w:rPr>
                <w:rFonts w:hint="eastAsia"/>
                <w:color w:val="auto"/>
              </w:rPr>
              <w:t xml:space="preserve">； </w:t>
            </w:r>
          </w:p>
          <w:p w14:paraId="5DE31693">
            <w:pPr>
              <w:numPr>
                <w:ilvl w:val="0"/>
                <w:numId w:val="0"/>
              </w:numPr>
              <w:spacing w:line="360" w:lineRule="auto"/>
              <w:jc w:val="left"/>
              <w:rPr>
                <w:rFonts w:hint="default"/>
                <w:color w:val="auto"/>
                <w:highlight w:val="none"/>
                <w:lang w:val="en-US" w:eastAsia="zh-CN"/>
              </w:rPr>
            </w:pPr>
            <w:r>
              <w:rPr>
                <w:rFonts w:hint="eastAsia"/>
                <w:b/>
                <w:bCs/>
                <w:color w:val="auto"/>
              </w:rPr>
              <w:t>注：响应文件中提供合同扫描件或影印件。</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18584E">
            <w:pPr>
              <w:spacing w:line="420" w:lineRule="exact"/>
              <w:jc w:val="center"/>
              <w:rPr>
                <w:rFonts w:hint="default" w:ascii="宋体" w:hAnsi="宋体"/>
                <w:color w:val="auto"/>
                <w:szCs w:val="21"/>
                <w:highlight w:val="none"/>
                <w:shd w:val="clear" w:color="auto" w:fill="FFFFFF"/>
                <w:lang w:val="en-US" w:eastAsia="zh-CN"/>
              </w:rPr>
            </w:pPr>
            <w:r>
              <w:rPr>
                <w:rFonts w:hint="eastAsia" w:ascii="宋体" w:hAnsi="宋体"/>
                <w:color w:val="auto"/>
                <w:szCs w:val="21"/>
                <w:highlight w:val="none"/>
                <w:shd w:val="clear" w:color="auto" w:fill="FFFFFF"/>
                <w:lang w:eastAsia="zh-CN"/>
              </w:rPr>
              <w:t>满分</w:t>
            </w:r>
            <w:r>
              <w:rPr>
                <w:rFonts w:hint="eastAsia" w:ascii="宋体" w:hAnsi="宋体"/>
                <w:color w:val="auto"/>
                <w:szCs w:val="21"/>
                <w:highlight w:val="none"/>
                <w:shd w:val="clear" w:color="auto" w:fill="FFFFFF"/>
                <w:lang w:val="en-US" w:eastAsia="zh-CN"/>
              </w:rPr>
              <w:t>20分</w:t>
            </w:r>
          </w:p>
        </w:tc>
      </w:tr>
      <w:tr w14:paraId="18BD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157CEB">
            <w:pPr>
              <w:spacing w:line="420" w:lineRule="exact"/>
              <w:jc w:val="center"/>
              <w:rPr>
                <w:rFonts w:hint="eastAsia" w:ascii="宋体" w:hAnsi="宋体" w:eastAsiaTheme="minorEastAsia"/>
                <w:color w:val="auto"/>
                <w:szCs w:val="21"/>
                <w:highlight w:val="none"/>
                <w:shd w:val="clear" w:color="auto" w:fill="FFFFFF"/>
                <w:lang w:val="en-US" w:eastAsia="zh-CN"/>
              </w:rPr>
            </w:pPr>
            <w:r>
              <w:rPr>
                <w:rFonts w:hint="eastAsia" w:ascii="宋体" w:hAnsi="宋体"/>
                <w:color w:val="auto"/>
                <w:szCs w:val="21"/>
                <w:highlight w:val="none"/>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520965">
            <w:pPr>
              <w:spacing w:line="420" w:lineRule="exact"/>
              <w:jc w:val="center"/>
              <w:rPr>
                <w:rFonts w:hint="eastAsia" w:ascii="宋体" w:hAnsi="宋体"/>
                <w:color w:val="auto"/>
                <w:szCs w:val="21"/>
                <w:highlight w:val="none"/>
                <w:shd w:val="clear" w:color="auto" w:fill="FFFFFF"/>
                <w:lang w:eastAsia="zh-CN"/>
              </w:rPr>
            </w:pPr>
            <w:r>
              <w:rPr>
                <w:rFonts w:hint="eastAsia"/>
              </w:rPr>
              <w:t>服务人员管理</w:t>
            </w:r>
            <w:r>
              <w:rPr>
                <w:rFonts w:hint="eastAsia"/>
                <w:lang w:eastAsia="zh-CN"/>
              </w:rPr>
              <w:t>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DF705B">
            <w:pPr>
              <w:spacing w:line="360" w:lineRule="auto"/>
              <w:rPr>
                <w:rFonts w:hint="eastAsia"/>
              </w:rPr>
            </w:pPr>
            <w:r>
              <w:rPr>
                <w:rFonts w:hint="eastAsia"/>
                <w:lang w:val="en-US" w:eastAsia="zh-CN"/>
              </w:rPr>
              <w:t>询价</w:t>
            </w:r>
            <w:r>
              <w:rPr>
                <w:rFonts w:hint="eastAsia"/>
              </w:rPr>
              <w:t>小组根据供应商对本项目提供的以下方案，结合与本项目的相关性进行评审：服务人员建立管理办法、服务人员建立服务标准、服务人员建立管理体系。</w:t>
            </w:r>
          </w:p>
          <w:p w14:paraId="7517AAC3">
            <w:pPr>
              <w:spacing w:line="360" w:lineRule="auto"/>
              <w:rPr>
                <w:rFonts w:hint="eastAsia"/>
              </w:rPr>
            </w:pPr>
            <w:r>
              <w:rPr>
                <w:rFonts w:hint="eastAsia"/>
              </w:rPr>
              <w:t>1</w:t>
            </w:r>
            <w:r>
              <w:rPr>
                <w:rFonts w:hint="eastAsia"/>
                <w:lang w:eastAsia="zh-CN"/>
              </w:rPr>
              <w:t>.</w:t>
            </w:r>
            <w:r>
              <w:rPr>
                <w:rFonts w:hint="eastAsia"/>
              </w:rPr>
              <w:t>方案科学合理，可行性及操作性强，能够完全满足或优于采购需求中的相关要求，得</w:t>
            </w:r>
            <w:r>
              <w:rPr>
                <w:rFonts w:hint="eastAsia"/>
                <w:lang w:val="en-US" w:eastAsia="zh-CN"/>
              </w:rPr>
              <w:t>10</w:t>
            </w:r>
            <w:r>
              <w:rPr>
                <w:rFonts w:hint="eastAsia"/>
              </w:rPr>
              <w:t>分；</w:t>
            </w:r>
          </w:p>
          <w:p w14:paraId="5205C6C0">
            <w:pPr>
              <w:spacing w:line="360" w:lineRule="auto"/>
              <w:rPr>
                <w:rFonts w:hint="eastAsia"/>
              </w:rPr>
            </w:pPr>
            <w:r>
              <w:rPr>
                <w:rFonts w:hint="eastAsia"/>
              </w:rPr>
              <w:t>2</w:t>
            </w:r>
            <w:r>
              <w:rPr>
                <w:rFonts w:hint="eastAsia"/>
                <w:lang w:eastAsia="zh-CN"/>
              </w:rPr>
              <w:t>.</w:t>
            </w:r>
            <w:r>
              <w:rPr>
                <w:rFonts w:hint="eastAsia"/>
              </w:rPr>
              <w:t>方案具有比较好的可行性、合理性和完整性，能够基本满足采购需求中的要求，得</w:t>
            </w:r>
            <w:r>
              <w:rPr>
                <w:rFonts w:hint="eastAsia"/>
                <w:lang w:val="en-US" w:eastAsia="zh-CN"/>
              </w:rPr>
              <w:t>6</w:t>
            </w:r>
            <w:r>
              <w:rPr>
                <w:rFonts w:hint="eastAsia"/>
              </w:rPr>
              <w:t>分；</w:t>
            </w:r>
          </w:p>
          <w:p w14:paraId="04CF7FB2">
            <w:pPr>
              <w:spacing w:line="360" w:lineRule="auto"/>
              <w:rPr>
                <w:rFonts w:hint="eastAsia"/>
              </w:rPr>
            </w:pPr>
            <w:r>
              <w:rPr>
                <w:rFonts w:hint="eastAsia"/>
              </w:rPr>
              <w:t>3</w:t>
            </w:r>
            <w:r>
              <w:rPr>
                <w:rFonts w:hint="eastAsia"/>
                <w:lang w:eastAsia="zh-CN"/>
              </w:rPr>
              <w:t>.</w:t>
            </w:r>
            <w:r>
              <w:rPr>
                <w:rFonts w:hint="eastAsia"/>
              </w:rPr>
              <w:t>方案一般，只能部分满足采购需求中的要求，得</w:t>
            </w:r>
            <w:r>
              <w:rPr>
                <w:rFonts w:hint="eastAsia"/>
                <w:lang w:val="en-US" w:eastAsia="zh-CN"/>
              </w:rPr>
              <w:t>3</w:t>
            </w:r>
            <w:r>
              <w:rPr>
                <w:rFonts w:hint="eastAsia"/>
              </w:rPr>
              <w:t>分；</w:t>
            </w:r>
          </w:p>
          <w:p w14:paraId="72EB41A3">
            <w:pPr>
              <w:spacing w:line="360" w:lineRule="auto"/>
              <w:jc w:val="left"/>
              <w:rPr>
                <w:rFonts w:hint="eastAsia" w:ascii="宋体" w:hAnsi="宋体" w:eastAsia="宋体" w:cs="宋体"/>
                <w:b/>
                <w:bCs/>
                <w:color w:val="FF0000"/>
                <w:kern w:val="1"/>
                <w:sz w:val="21"/>
                <w:szCs w:val="21"/>
                <w:highlight w:val="none"/>
                <w:lang w:val="en-US" w:eastAsia="zh-CN" w:bidi="ar-SA"/>
              </w:rPr>
            </w:pPr>
            <w:r>
              <w:rPr>
                <w:rFonts w:hint="eastAsia"/>
              </w:rPr>
              <w:t>4</w:t>
            </w:r>
            <w:r>
              <w:rPr>
                <w:rFonts w:hint="eastAsia"/>
                <w:lang w:eastAsia="zh-CN"/>
              </w:rPr>
              <w:t>.</w:t>
            </w:r>
            <w:r>
              <w:rPr>
                <w:rFonts w:hint="eastAsia"/>
              </w:rPr>
              <w:t>方案差或未提供不得分。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63DECD">
            <w:pPr>
              <w:spacing w:line="420" w:lineRule="exact"/>
              <w:jc w:val="center"/>
              <w:rPr>
                <w:rFonts w:hint="eastAsia" w:ascii="宋体" w:hAnsi="宋体"/>
                <w:color w:val="auto"/>
                <w:szCs w:val="21"/>
                <w:highlight w:val="none"/>
                <w:shd w:val="clear" w:color="auto" w:fill="FFFFFF"/>
                <w:lang w:eastAsia="zh-CN"/>
              </w:rPr>
            </w:pPr>
            <w:r>
              <w:rPr>
                <w:rFonts w:hint="eastAsia" w:ascii="宋体" w:hAnsi="宋体"/>
                <w:color w:val="auto"/>
                <w:szCs w:val="21"/>
                <w:highlight w:val="none"/>
                <w:shd w:val="clear" w:color="auto" w:fill="FFFFFF"/>
                <w:lang w:eastAsia="zh-CN"/>
              </w:rPr>
              <w:t>满分</w:t>
            </w:r>
          </w:p>
          <w:p w14:paraId="16C3CEE4">
            <w:pPr>
              <w:spacing w:line="420" w:lineRule="exact"/>
              <w:jc w:val="center"/>
              <w:rPr>
                <w:rFonts w:hint="default" w:ascii="宋体" w:hAnsi="宋体"/>
                <w:color w:val="auto"/>
                <w:szCs w:val="21"/>
                <w:highlight w:val="none"/>
                <w:shd w:val="clear" w:color="auto" w:fill="FFFFFF"/>
                <w:lang w:val="en-US" w:eastAsia="zh-CN"/>
              </w:rPr>
            </w:pPr>
            <w:r>
              <w:rPr>
                <w:rFonts w:hint="eastAsia" w:ascii="宋体" w:hAnsi="宋体"/>
                <w:color w:val="auto"/>
                <w:szCs w:val="21"/>
                <w:highlight w:val="none"/>
                <w:shd w:val="clear" w:color="auto" w:fill="FFFFFF"/>
                <w:lang w:val="en-US" w:eastAsia="zh-CN"/>
              </w:rPr>
              <w:t>10分</w:t>
            </w:r>
          </w:p>
        </w:tc>
      </w:tr>
      <w:tr w14:paraId="05FF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2BDBF">
            <w:pPr>
              <w:spacing w:line="420" w:lineRule="exact"/>
              <w:jc w:val="center"/>
              <w:rPr>
                <w:rFonts w:hint="eastAsia" w:ascii="宋体" w:hAnsi="宋体" w:eastAsiaTheme="minorEastAsia"/>
                <w:color w:val="auto"/>
                <w:szCs w:val="21"/>
                <w:highlight w:val="none"/>
                <w:shd w:val="clear" w:color="auto" w:fill="FFFFFF"/>
                <w:lang w:val="en-US" w:eastAsia="zh-CN"/>
              </w:rPr>
            </w:pPr>
            <w:r>
              <w:rPr>
                <w:rFonts w:hint="eastAsia" w:ascii="宋体" w:hAnsi="宋体"/>
                <w:color w:val="auto"/>
                <w:szCs w:val="21"/>
                <w:highlight w:val="none"/>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852CCE">
            <w:pPr>
              <w:spacing w:line="360" w:lineRule="auto"/>
              <w:rPr>
                <w:rFonts w:hint="eastAsia"/>
              </w:rPr>
            </w:pPr>
            <w:r>
              <w:rPr>
                <w:rFonts w:hint="eastAsia"/>
              </w:rPr>
              <w:t>理赔服务</w:t>
            </w:r>
          </w:p>
          <w:p w14:paraId="60258B1C">
            <w:pPr>
              <w:spacing w:line="360" w:lineRule="auto"/>
              <w:rPr>
                <w:rFonts w:hint="eastAsia" w:eastAsiaTheme="minorEastAsia"/>
                <w:color w:val="auto"/>
                <w:highlight w:val="none"/>
                <w:lang w:eastAsia="zh-CN"/>
              </w:rPr>
            </w:pPr>
            <w:r>
              <w:rPr>
                <w:rFonts w:hint="eastAsia"/>
              </w:rPr>
              <w:t>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top"/>
          </w:tcPr>
          <w:p w14:paraId="196204ED">
            <w:pPr>
              <w:spacing w:line="360" w:lineRule="auto"/>
              <w:rPr>
                <w:rFonts w:hint="eastAsia"/>
              </w:rPr>
            </w:pPr>
            <w:r>
              <w:rPr>
                <w:rFonts w:hint="eastAsia"/>
                <w:color w:val="auto"/>
                <w:sz w:val="21"/>
                <w:szCs w:val="21"/>
                <w:highlight w:val="none"/>
                <w:lang w:eastAsia="zh-CN"/>
              </w:rPr>
              <w:t>①</w:t>
            </w:r>
            <w:r>
              <w:rPr>
                <w:rFonts w:hint="eastAsia"/>
              </w:rPr>
              <w:t>方案对于发生理赔时从申请、受理、审核、赔付等关键环节进行描述，</w:t>
            </w:r>
            <w:r>
              <w:rPr>
                <w:rFonts w:hint="eastAsia"/>
                <w:lang w:val="en-US" w:eastAsia="zh-CN"/>
              </w:rPr>
              <w:t>询价</w:t>
            </w:r>
            <w:r>
              <w:rPr>
                <w:rFonts w:hint="eastAsia"/>
              </w:rPr>
              <w:t>小组从方案的政策执行情况、具体服务内容、审核理赔程序、数据核查分析、费用监督措施、风险管控措施、核查方案进行综合评分。</w:t>
            </w:r>
          </w:p>
          <w:p w14:paraId="799F0693">
            <w:pPr>
              <w:spacing w:line="360" w:lineRule="auto"/>
              <w:rPr>
                <w:rFonts w:hint="eastAsia"/>
              </w:rPr>
            </w:pPr>
            <w:r>
              <w:rPr>
                <w:rFonts w:hint="eastAsia"/>
              </w:rPr>
              <w:t>1</w:t>
            </w:r>
            <w:r>
              <w:rPr>
                <w:rFonts w:hint="eastAsia"/>
                <w:lang w:eastAsia="zh-CN"/>
              </w:rPr>
              <w:t>.</w:t>
            </w:r>
            <w:r>
              <w:rPr>
                <w:rFonts w:hint="eastAsia"/>
              </w:rPr>
              <w:t>方案科学合理，可行性及操作性强，能够完全满足或优于采购需求中的相关要求，得</w:t>
            </w:r>
            <w:r>
              <w:rPr>
                <w:rFonts w:hint="eastAsia"/>
                <w:lang w:val="en-US" w:eastAsia="zh-CN"/>
              </w:rPr>
              <w:t>10</w:t>
            </w:r>
            <w:r>
              <w:rPr>
                <w:rFonts w:hint="eastAsia"/>
              </w:rPr>
              <w:t>分；</w:t>
            </w:r>
          </w:p>
          <w:p w14:paraId="1BC52149">
            <w:pPr>
              <w:spacing w:line="360" w:lineRule="auto"/>
              <w:rPr>
                <w:rFonts w:hint="eastAsia"/>
              </w:rPr>
            </w:pPr>
            <w:r>
              <w:rPr>
                <w:rFonts w:hint="eastAsia"/>
              </w:rPr>
              <w:t>2</w:t>
            </w:r>
            <w:r>
              <w:rPr>
                <w:rFonts w:hint="eastAsia"/>
                <w:lang w:eastAsia="zh-CN"/>
              </w:rPr>
              <w:t>.</w:t>
            </w:r>
            <w:r>
              <w:rPr>
                <w:rFonts w:hint="eastAsia"/>
              </w:rPr>
              <w:t>方案具有比较好的可行性、合理性和完整性，能够基本满足采购需求中的要求，得</w:t>
            </w:r>
            <w:r>
              <w:rPr>
                <w:rFonts w:hint="eastAsia"/>
                <w:lang w:val="en-US" w:eastAsia="zh-CN"/>
              </w:rPr>
              <w:t>6</w:t>
            </w:r>
            <w:r>
              <w:rPr>
                <w:rFonts w:hint="eastAsia"/>
              </w:rPr>
              <w:t>分；</w:t>
            </w:r>
          </w:p>
          <w:p w14:paraId="028F1D78">
            <w:pPr>
              <w:spacing w:line="360" w:lineRule="auto"/>
              <w:rPr>
                <w:rFonts w:hint="eastAsia"/>
              </w:rPr>
            </w:pPr>
            <w:r>
              <w:rPr>
                <w:rFonts w:hint="eastAsia"/>
              </w:rPr>
              <w:t>3</w:t>
            </w:r>
            <w:r>
              <w:rPr>
                <w:rFonts w:hint="eastAsia"/>
                <w:lang w:eastAsia="zh-CN"/>
              </w:rPr>
              <w:t>.</w:t>
            </w:r>
            <w:r>
              <w:rPr>
                <w:rFonts w:hint="eastAsia"/>
              </w:rPr>
              <w:t>方案一般，只能部分满足采购需求中的要求，得</w:t>
            </w:r>
            <w:r>
              <w:rPr>
                <w:rFonts w:hint="eastAsia"/>
                <w:lang w:val="en-US" w:eastAsia="zh-CN"/>
              </w:rPr>
              <w:t>3</w:t>
            </w:r>
            <w:r>
              <w:rPr>
                <w:rFonts w:hint="eastAsia"/>
              </w:rPr>
              <w:t>分；</w:t>
            </w:r>
          </w:p>
          <w:p w14:paraId="14191D4F">
            <w:pPr>
              <w:spacing w:line="360" w:lineRule="auto"/>
              <w:rPr>
                <w:rFonts w:hint="eastAsia"/>
              </w:rPr>
            </w:pPr>
            <w:r>
              <w:rPr>
                <w:rFonts w:hint="eastAsia"/>
              </w:rPr>
              <w:t>4</w:t>
            </w:r>
            <w:r>
              <w:rPr>
                <w:rFonts w:hint="eastAsia"/>
                <w:lang w:eastAsia="zh-CN"/>
              </w:rPr>
              <w:t>.</w:t>
            </w:r>
            <w:r>
              <w:rPr>
                <w:rFonts w:hint="eastAsia"/>
              </w:rPr>
              <w:t>方案差或未提供不得分。</w:t>
            </w:r>
          </w:p>
          <w:p w14:paraId="7A346E42">
            <w:pPr>
              <w:spacing w:line="360" w:lineRule="auto"/>
              <w:rPr>
                <w:rFonts w:hint="default"/>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②</w:t>
            </w:r>
            <w:r>
              <w:rPr>
                <w:rFonts w:hint="default"/>
                <w:color w:val="auto"/>
                <w:sz w:val="21"/>
                <w:szCs w:val="21"/>
                <w:highlight w:val="none"/>
                <w:lang w:val="en-US" w:eastAsia="zh-CN"/>
              </w:rPr>
              <w:t>设立 24 小时服务热线电话，</w:t>
            </w:r>
            <w:r>
              <w:rPr>
                <w:rFonts w:hint="eastAsia"/>
                <w:color w:val="auto"/>
                <w:sz w:val="21"/>
                <w:szCs w:val="21"/>
                <w:highlight w:val="none"/>
                <w:lang w:val="en-US" w:eastAsia="zh-CN"/>
              </w:rPr>
              <w:t>询价</w:t>
            </w:r>
            <w:r>
              <w:rPr>
                <w:rFonts w:hint="default"/>
                <w:color w:val="auto"/>
                <w:sz w:val="21"/>
                <w:szCs w:val="21"/>
                <w:highlight w:val="none"/>
                <w:lang w:val="en-US" w:eastAsia="zh-CN"/>
              </w:rPr>
              <w:t>小组从接受报案、政策咨询、受理投诉、理赔指导进行综合评分。</w:t>
            </w:r>
          </w:p>
          <w:p w14:paraId="658CB116">
            <w:pPr>
              <w:spacing w:line="360" w:lineRule="auto"/>
              <w:rPr>
                <w:rFonts w:hint="eastAsia"/>
              </w:rPr>
            </w:pPr>
            <w:r>
              <w:rPr>
                <w:rFonts w:hint="eastAsia"/>
              </w:rPr>
              <w:t>1</w:t>
            </w:r>
            <w:r>
              <w:rPr>
                <w:rFonts w:hint="eastAsia"/>
                <w:lang w:eastAsia="zh-CN"/>
              </w:rPr>
              <w:t>.</w:t>
            </w:r>
            <w:r>
              <w:rPr>
                <w:rFonts w:hint="eastAsia"/>
              </w:rPr>
              <w:t>方案科学合理，可行性及操作性强，能够完全满足或优于采购需求中的相关要求，得</w:t>
            </w:r>
            <w:r>
              <w:rPr>
                <w:rFonts w:hint="eastAsia"/>
                <w:lang w:val="en-US" w:eastAsia="zh-CN"/>
              </w:rPr>
              <w:t>10</w:t>
            </w:r>
            <w:r>
              <w:rPr>
                <w:rFonts w:hint="eastAsia"/>
              </w:rPr>
              <w:t>分；</w:t>
            </w:r>
          </w:p>
          <w:p w14:paraId="04961F3B">
            <w:pPr>
              <w:spacing w:line="360" w:lineRule="auto"/>
              <w:rPr>
                <w:rFonts w:hint="eastAsia"/>
              </w:rPr>
            </w:pPr>
            <w:r>
              <w:rPr>
                <w:rFonts w:hint="eastAsia"/>
              </w:rPr>
              <w:t>2</w:t>
            </w:r>
            <w:r>
              <w:rPr>
                <w:rFonts w:hint="eastAsia"/>
                <w:lang w:eastAsia="zh-CN"/>
              </w:rPr>
              <w:t>.</w:t>
            </w:r>
            <w:r>
              <w:rPr>
                <w:rFonts w:hint="eastAsia"/>
              </w:rPr>
              <w:t>方案具有比较好的可行性、合理性和完整性，能够基本满足采购需求中的要求，得</w:t>
            </w:r>
            <w:r>
              <w:rPr>
                <w:rFonts w:hint="eastAsia"/>
                <w:lang w:val="en-US" w:eastAsia="zh-CN"/>
              </w:rPr>
              <w:t>6</w:t>
            </w:r>
            <w:r>
              <w:rPr>
                <w:rFonts w:hint="eastAsia"/>
              </w:rPr>
              <w:t>分；</w:t>
            </w:r>
          </w:p>
          <w:p w14:paraId="778E7B33">
            <w:pPr>
              <w:spacing w:line="360" w:lineRule="auto"/>
              <w:rPr>
                <w:rFonts w:hint="eastAsia"/>
              </w:rPr>
            </w:pPr>
            <w:r>
              <w:rPr>
                <w:rFonts w:hint="eastAsia"/>
              </w:rPr>
              <w:t>3</w:t>
            </w:r>
            <w:r>
              <w:rPr>
                <w:rFonts w:hint="eastAsia"/>
                <w:lang w:eastAsia="zh-CN"/>
              </w:rPr>
              <w:t>.</w:t>
            </w:r>
            <w:r>
              <w:rPr>
                <w:rFonts w:hint="eastAsia"/>
              </w:rPr>
              <w:t>方案一般，只能部分满足采购需求中的要求，得</w:t>
            </w:r>
            <w:r>
              <w:rPr>
                <w:rFonts w:hint="eastAsia"/>
                <w:lang w:val="en-US" w:eastAsia="zh-CN"/>
              </w:rPr>
              <w:t>3</w:t>
            </w:r>
            <w:r>
              <w:rPr>
                <w:rFonts w:hint="eastAsia"/>
              </w:rPr>
              <w:t>分；</w:t>
            </w:r>
          </w:p>
          <w:p w14:paraId="5155E621">
            <w:pPr>
              <w:spacing w:line="360" w:lineRule="auto"/>
              <w:rPr>
                <w:rFonts w:hint="eastAsia"/>
              </w:rPr>
            </w:pPr>
            <w:r>
              <w:rPr>
                <w:rFonts w:hint="eastAsia"/>
              </w:rPr>
              <w:t>4</w:t>
            </w:r>
            <w:r>
              <w:rPr>
                <w:rFonts w:hint="eastAsia"/>
                <w:lang w:eastAsia="zh-CN"/>
              </w:rPr>
              <w:t>.</w:t>
            </w:r>
            <w:r>
              <w:rPr>
                <w:rFonts w:hint="eastAsia"/>
              </w:rPr>
              <w:t>方案差或未提供不得分。</w:t>
            </w:r>
          </w:p>
          <w:p w14:paraId="29437DCA">
            <w:pPr>
              <w:spacing w:line="360" w:lineRule="auto"/>
              <w:rPr>
                <w:rFonts w:hint="eastAsia"/>
                <w:lang w:val="en-US" w:eastAsia="zh-CN"/>
              </w:rPr>
            </w:pPr>
            <w:r>
              <w:rPr>
                <w:rFonts w:hint="eastAsia" w:ascii="微软雅黑" w:hAnsi="微软雅黑" w:eastAsia="微软雅黑" w:cs="微软雅黑"/>
                <w:color w:val="auto"/>
                <w:sz w:val="21"/>
                <w:szCs w:val="21"/>
                <w:highlight w:val="none"/>
                <w:lang w:val="en-US" w:eastAsia="zh-CN"/>
              </w:rPr>
              <w:t>③</w:t>
            </w:r>
            <w:r>
              <w:rPr>
                <w:rFonts w:hint="eastAsia"/>
                <w:lang w:val="en-US" w:eastAsia="zh-CN"/>
              </w:rPr>
              <w:t>对建立保险投诉处理及应急处置机制。询价小组对投诉处置流程、投诉处置制度、应急突发事件处理流程、应急处置制度、应急保障措施进行综合评分。</w:t>
            </w:r>
          </w:p>
          <w:p w14:paraId="1C962D1A">
            <w:pPr>
              <w:spacing w:line="360" w:lineRule="auto"/>
              <w:rPr>
                <w:rFonts w:hint="eastAsia"/>
              </w:rPr>
            </w:pPr>
            <w:r>
              <w:rPr>
                <w:rFonts w:hint="eastAsia"/>
              </w:rPr>
              <w:t>1</w:t>
            </w:r>
            <w:r>
              <w:rPr>
                <w:rFonts w:hint="eastAsia"/>
                <w:lang w:eastAsia="zh-CN"/>
              </w:rPr>
              <w:t>.</w:t>
            </w:r>
            <w:r>
              <w:rPr>
                <w:rFonts w:hint="eastAsia"/>
              </w:rPr>
              <w:t>方案科学合理，可行性及操作性强，能够完全满足或优于采购需求中的相关要求，得</w:t>
            </w:r>
            <w:r>
              <w:rPr>
                <w:rFonts w:hint="eastAsia"/>
                <w:lang w:val="en-US" w:eastAsia="zh-CN"/>
              </w:rPr>
              <w:t>10</w:t>
            </w:r>
            <w:r>
              <w:rPr>
                <w:rFonts w:hint="eastAsia"/>
              </w:rPr>
              <w:t>分；</w:t>
            </w:r>
          </w:p>
          <w:p w14:paraId="54977BB9">
            <w:pPr>
              <w:spacing w:line="360" w:lineRule="auto"/>
              <w:rPr>
                <w:rFonts w:hint="eastAsia"/>
              </w:rPr>
            </w:pPr>
            <w:r>
              <w:rPr>
                <w:rFonts w:hint="eastAsia"/>
              </w:rPr>
              <w:t>2</w:t>
            </w:r>
            <w:r>
              <w:rPr>
                <w:rFonts w:hint="eastAsia"/>
                <w:lang w:eastAsia="zh-CN"/>
              </w:rPr>
              <w:t>.</w:t>
            </w:r>
            <w:r>
              <w:rPr>
                <w:rFonts w:hint="eastAsia"/>
              </w:rPr>
              <w:t>方案具有比较好的可行性、合理性和完整性，能够基本满足采购需求中的要求，得</w:t>
            </w:r>
            <w:r>
              <w:rPr>
                <w:rFonts w:hint="eastAsia"/>
                <w:lang w:val="en-US" w:eastAsia="zh-CN"/>
              </w:rPr>
              <w:t>6</w:t>
            </w:r>
            <w:r>
              <w:rPr>
                <w:rFonts w:hint="eastAsia"/>
              </w:rPr>
              <w:t>分；</w:t>
            </w:r>
          </w:p>
          <w:p w14:paraId="6E873F44">
            <w:pPr>
              <w:spacing w:line="360" w:lineRule="auto"/>
              <w:rPr>
                <w:rFonts w:hint="eastAsia"/>
              </w:rPr>
            </w:pPr>
            <w:r>
              <w:rPr>
                <w:rFonts w:hint="eastAsia"/>
              </w:rPr>
              <w:t>3</w:t>
            </w:r>
            <w:r>
              <w:rPr>
                <w:rFonts w:hint="eastAsia"/>
                <w:lang w:eastAsia="zh-CN"/>
              </w:rPr>
              <w:t>.</w:t>
            </w:r>
            <w:r>
              <w:rPr>
                <w:rFonts w:hint="eastAsia"/>
              </w:rPr>
              <w:t>方案一般，只能部分满足采购需求中的要求，得</w:t>
            </w:r>
            <w:r>
              <w:rPr>
                <w:rFonts w:hint="eastAsia"/>
                <w:lang w:val="en-US" w:eastAsia="zh-CN"/>
              </w:rPr>
              <w:t>3</w:t>
            </w:r>
            <w:r>
              <w:rPr>
                <w:rFonts w:hint="eastAsia"/>
              </w:rPr>
              <w:t>分；</w:t>
            </w:r>
          </w:p>
          <w:p w14:paraId="6407BA74">
            <w:pPr>
              <w:spacing w:line="360" w:lineRule="auto"/>
              <w:rPr>
                <w:rFonts w:hint="eastAsia"/>
                <w:color w:val="auto"/>
                <w:highlight w:val="none"/>
                <w:lang w:eastAsia="zh-CN"/>
              </w:rPr>
            </w:pPr>
            <w:r>
              <w:rPr>
                <w:rFonts w:hint="eastAsia"/>
              </w:rPr>
              <w:t>4</w:t>
            </w:r>
            <w:r>
              <w:rPr>
                <w:rFonts w:hint="eastAsia"/>
                <w:lang w:eastAsia="zh-CN"/>
              </w:rPr>
              <w:t>.</w:t>
            </w:r>
            <w:r>
              <w:rPr>
                <w:rFonts w:hint="eastAsia"/>
              </w:rPr>
              <w:t>方案差或未提供不得分。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8B1046">
            <w:pPr>
              <w:rPr>
                <w:rFonts w:hint="eastAsia"/>
              </w:rPr>
            </w:pPr>
            <w:r>
              <w:rPr>
                <w:rFonts w:hint="eastAsia"/>
              </w:rPr>
              <w:t>满分</w:t>
            </w:r>
          </w:p>
          <w:p w14:paraId="6415DF97">
            <w:pPr>
              <w:rPr>
                <w:rFonts w:hint="eastAsia" w:ascii="宋体" w:hAnsi="宋体"/>
                <w:color w:val="auto"/>
                <w:szCs w:val="21"/>
                <w:highlight w:val="none"/>
                <w:shd w:val="clear" w:color="auto" w:fill="FFFFFF"/>
                <w:lang w:val="en-US" w:eastAsia="zh-CN"/>
              </w:rPr>
            </w:pPr>
            <w:r>
              <w:rPr>
                <w:rFonts w:hint="eastAsia"/>
                <w:lang w:val="en-US" w:eastAsia="zh-CN"/>
              </w:rPr>
              <w:t>3</w:t>
            </w:r>
            <w:r>
              <w:rPr>
                <w:rFonts w:hint="eastAsia"/>
              </w:rPr>
              <w:t>0分</w:t>
            </w:r>
          </w:p>
        </w:tc>
      </w:tr>
      <w:tr w14:paraId="6AED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B7E6AB">
            <w:pPr>
              <w:spacing w:line="420" w:lineRule="exact"/>
              <w:jc w:val="center"/>
              <w:rPr>
                <w:rFonts w:hint="default" w:ascii="宋体" w:hAnsi="宋体"/>
                <w:color w:val="auto"/>
                <w:szCs w:val="21"/>
                <w:highlight w:val="none"/>
                <w:shd w:val="clear" w:color="auto" w:fill="FFFFFF"/>
                <w:lang w:val="en-US" w:eastAsia="zh-CN"/>
              </w:rPr>
            </w:pPr>
            <w:r>
              <w:rPr>
                <w:rFonts w:hint="eastAsia" w:ascii="宋体" w:hAnsi="宋体"/>
                <w:color w:val="auto"/>
                <w:szCs w:val="21"/>
                <w:highlight w:val="none"/>
                <w:shd w:val="clear" w:color="auto" w:fill="FFFFFF"/>
                <w:lang w:val="en-US" w:eastAsia="zh-CN"/>
              </w:rPr>
              <w:t>5</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32BBDB">
            <w:pPr>
              <w:spacing w:line="360" w:lineRule="auto"/>
              <w:rPr>
                <w:rFonts w:hint="eastAsia" w:ascii="宋体" w:hAnsi="宋体" w:eastAsia="宋体" w:cs="宋体"/>
                <w:color w:val="auto"/>
                <w:sz w:val="21"/>
                <w:szCs w:val="21"/>
                <w:highlight w:val="none"/>
                <w:shd w:val="clear" w:color="auto" w:fill="FFFFFF"/>
                <w:lang w:val="zh-CN" w:eastAsia="zh-CN"/>
              </w:rPr>
            </w:pPr>
            <w:r>
              <w:rPr>
                <w:rFonts w:hint="eastAsia"/>
                <w:lang w:val="en-US" w:eastAsia="zh-CN"/>
              </w:rPr>
              <w:t>增值</w:t>
            </w:r>
            <w:r>
              <w:rPr>
                <w:rFonts w:hint="eastAsia"/>
              </w:rPr>
              <w:t>服务承诺</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top"/>
          </w:tcPr>
          <w:p w14:paraId="20EE235B">
            <w:pPr>
              <w:spacing w:line="360" w:lineRule="auto"/>
              <w:rPr>
                <w:rFonts w:hint="eastAsia"/>
                <w:color w:val="auto"/>
                <w:sz w:val="21"/>
                <w:szCs w:val="21"/>
                <w:highlight w:val="none"/>
                <w:lang w:eastAsia="zh-CN"/>
              </w:rPr>
            </w:pPr>
          </w:p>
          <w:p w14:paraId="6FD077C9">
            <w:pPr>
              <w:spacing w:line="360" w:lineRule="auto"/>
              <w:rPr>
                <w:rFonts w:hint="eastAsia"/>
                <w:color w:val="auto"/>
                <w:sz w:val="21"/>
                <w:szCs w:val="21"/>
                <w:highlight w:val="none"/>
                <w:lang w:eastAsia="zh-CN"/>
              </w:rPr>
            </w:pPr>
            <w:r>
              <w:rPr>
                <w:rFonts w:hint="eastAsia"/>
                <w:color w:val="auto"/>
                <w:sz w:val="21"/>
                <w:szCs w:val="21"/>
                <w:highlight w:val="none"/>
                <w:lang w:eastAsia="zh-CN"/>
              </w:rPr>
              <w:t>投标人是否有提出优于招标文件要求的服务承诺。提供优于招标文件需求外</w:t>
            </w:r>
          </w:p>
          <w:p w14:paraId="2906E3F5">
            <w:pPr>
              <w:spacing w:line="360" w:lineRule="auto"/>
              <w:rPr>
                <w:rFonts w:hint="eastAsia"/>
                <w:color w:val="auto"/>
                <w:sz w:val="21"/>
                <w:szCs w:val="21"/>
                <w:highlight w:val="none"/>
                <w:lang w:eastAsia="zh-CN"/>
              </w:rPr>
            </w:pPr>
            <w:r>
              <w:rPr>
                <w:rFonts w:hint="eastAsia"/>
                <w:color w:val="auto"/>
                <w:sz w:val="21"/>
                <w:szCs w:val="21"/>
                <w:highlight w:val="none"/>
                <w:lang w:eastAsia="zh-CN"/>
              </w:rPr>
              <w:t>的服务承诺，能够极大促进项目工作改进的，每提供一条得</w:t>
            </w:r>
            <w:r>
              <w:rPr>
                <w:rFonts w:hint="eastAsia"/>
                <w:color w:val="auto"/>
                <w:sz w:val="21"/>
                <w:szCs w:val="21"/>
                <w:highlight w:val="none"/>
                <w:lang w:val="en-US" w:eastAsia="zh-CN"/>
              </w:rPr>
              <w:t>2</w:t>
            </w:r>
            <w:r>
              <w:rPr>
                <w:rFonts w:hint="eastAsia"/>
                <w:color w:val="auto"/>
                <w:sz w:val="21"/>
                <w:szCs w:val="21"/>
                <w:highlight w:val="none"/>
                <w:lang w:eastAsia="zh-CN"/>
              </w:rPr>
              <w:t>分，满分</w:t>
            </w:r>
            <w:r>
              <w:rPr>
                <w:rFonts w:hint="eastAsia"/>
                <w:color w:val="auto"/>
                <w:sz w:val="21"/>
                <w:szCs w:val="21"/>
                <w:highlight w:val="none"/>
                <w:lang w:val="en-US" w:eastAsia="zh-CN"/>
              </w:rPr>
              <w:t>10</w:t>
            </w:r>
            <w:r>
              <w:rPr>
                <w:rFonts w:hint="eastAsia"/>
                <w:color w:val="auto"/>
                <w:sz w:val="21"/>
                <w:szCs w:val="21"/>
                <w:highlight w:val="none"/>
                <w:lang w:eastAsia="zh-CN"/>
              </w:rPr>
              <w:t>分。</w:t>
            </w:r>
          </w:p>
          <w:p w14:paraId="24E0DE99">
            <w:pPr>
              <w:spacing w:line="360" w:lineRule="auto"/>
              <w:rPr>
                <w:rFonts w:hint="default"/>
                <w:lang w:val="en-US" w:eastAsia="zh-CN"/>
              </w:rPr>
            </w:pPr>
            <w:r>
              <w:rPr>
                <w:rFonts w:hint="eastAsia"/>
                <w:color w:val="auto"/>
                <w:sz w:val="21"/>
                <w:szCs w:val="21"/>
                <w:highlight w:val="none"/>
                <w:lang w:eastAsia="zh-CN"/>
              </w:rPr>
              <w:t>须提供承诺书，未提供不得分。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CEAFE6">
            <w:pPr>
              <w:rPr>
                <w:rFonts w:hint="eastAsia"/>
              </w:rPr>
            </w:pPr>
            <w:r>
              <w:rPr>
                <w:rFonts w:hint="eastAsia"/>
              </w:rPr>
              <w:t>满分</w:t>
            </w:r>
          </w:p>
          <w:p w14:paraId="0B5F404F">
            <w:pPr>
              <w:rPr>
                <w:rFonts w:hint="default" w:ascii="宋体" w:hAnsi="宋体"/>
                <w:color w:val="auto"/>
                <w:szCs w:val="21"/>
                <w:highlight w:val="none"/>
                <w:shd w:val="clear" w:color="auto" w:fill="FFFFFF"/>
                <w:lang w:val="en-US" w:eastAsia="zh-CN"/>
              </w:rPr>
            </w:pPr>
            <w:r>
              <w:rPr>
                <w:rFonts w:hint="eastAsia"/>
                <w:lang w:val="en-US" w:eastAsia="zh-CN"/>
              </w:rPr>
              <w:t>1</w:t>
            </w:r>
            <w:r>
              <w:rPr>
                <w:rFonts w:hint="eastAsia"/>
              </w:rPr>
              <w:t>0分</w:t>
            </w:r>
          </w:p>
        </w:tc>
      </w:tr>
      <w:tr w14:paraId="153E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315E6D5">
            <w:pPr>
              <w:spacing w:line="360" w:lineRule="auto"/>
              <w:jc w:val="left"/>
              <w:rPr>
                <w:rFonts w:ascii="微软雅黑" w:hAnsi="微软雅黑" w:eastAsia="微软雅黑"/>
                <w:color w:val="auto"/>
                <w:sz w:val="24"/>
                <w:highlight w:val="none"/>
              </w:rPr>
            </w:pPr>
            <w:r>
              <w:rPr>
                <w:rFonts w:ascii="宋体" w:hAnsi="宋体"/>
                <w:b/>
                <w:bCs/>
                <w:color w:val="auto"/>
                <w:szCs w:val="21"/>
                <w:highlight w:val="none"/>
                <w:shd w:val="clear" w:color="auto" w:fill="FFFFFF"/>
              </w:rPr>
              <w:t>商 务 部 分（</w:t>
            </w:r>
            <w:r>
              <w:rPr>
                <w:rFonts w:hint="eastAsia" w:ascii="宋体" w:hAnsi="宋体"/>
                <w:b/>
                <w:bCs/>
                <w:color w:val="auto"/>
                <w:szCs w:val="21"/>
                <w:highlight w:val="none"/>
                <w:shd w:val="clear" w:color="auto" w:fill="FFFFFF"/>
                <w:lang w:val="en-US" w:eastAsia="zh-CN"/>
              </w:rPr>
              <w:t>10</w:t>
            </w:r>
            <w:r>
              <w:rPr>
                <w:rFonts w:ascii="宋体" w:hAnsi="宋体"/>
                <w:b/>
                <w:bCs/>
                <w:color w:val="auto"/>
                <w:szCs w:val="21"/>
                <w:highlight w:val="none"/>
                <w:shd w:val="clear" w:color="auto" w:fill="FFFFFF"/>
              </w:rPr>
              <w:t>分）</w:t>
            </w:r>
          </w:p>
        </w:tc>
      </w:tr>
      <w:tr w14:paraId="2461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0264DF">
            <w:pPr>
              <w:spacing w:line="360" w:lineRule="auto"/>
              <w:jc w:val="center"/>
              <w:rPr>
                <w:rFonts w:hint="eastAsia" w:ascii="微软雅黑" w:hAnsi="微软雅黑" w:eastAsia="微软雅黑"/>
                <w:color w:val="auto"/>
                <w:sz w:val="24"/>
                <w:highlight w:val="none"/>
                <w:lang w:eastAsia="zh-CN"/>
              </w:rPr>
            </w:pPr>
            <w:r>
              <w:rPr>
                <w:rFonts w:hint="eastAsia" w:ascii="'Times New Roman'" w:hAnsi="'Times New Roman'" w:eastAsia="微软雅黑"/>
                <w:color w:val="auto"/>
                <w:szCs w:val="21"/>
                <w:highlight w:val="none"/>
                <w:lang w:val="en-US" w:eastAsia="zh-CN"/>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14FE3C">
            <w:pPr>
              <w:spacing w:line="360" w:lineRule="auto"/>
              <w:jc w:val="center"/>
              <w:rPr>
                <w:rFonts w:ascii="微软雅黑" w:hAnsi="微软雅黑" w:eastAsia="微软雅黑"/>
                <w:color w:val="auto"/>
                <w:sz w:val="24"/>
                <w:highlight w:val="none"/>
              </w:rPr>
            </w:pPr>
            <w:r>
              <w:rPr>
                <w:rFonts w:ascii="'Times New Roman'" w:hAnsi="'Times New Roman'" w:eastAsia="'Times New Roman'"/>
                <w:color w:val="auto"/>
                <w:szCs w:val="21"/>
                <w:highlight w:val="none"/>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5E86B0">
            <w:pPr>
              <w:pStyle w:val="6"/>
              <w:rPr>
                <w:rFonts w:hint="eastAsia"/>
                <w:color w:val="auto"/>
                <w:highlight w:val="none"/>
              </w:rPr>
            </w:pPr>
            <w:r>
              <w:rPr>
                <w:rFonts w:hint="eastAsia"/>
                <w:color w:val="auto"/>
                <w:highlight w:val="none"/>
              </w:rPr>
              <w:t>价格分统一采用低价优先法，即满足</w:t>
            </w:r>
            <w:r>
              <w:rPr>
                <w:rFonts w:hint="eastAsia"/>
                <w:color w:val="auto"/>
                <w:highlight w:val="none"/>
                <w:lang w:val="en-US" w:eastAsia="zh-CN"/>
              </w:rPr>
              <w:t>询价</w:t>
            </w:r>
            <w:r>
              <w:rPr>
                <w:rFonts w:hint="eastAsia"/>
                <w:color w:val="auto"/>
                <w:highlight w:val="none"/>
              </w:rPr>
              <w:t>文件要求且价格最低的最后报价为</w:t>
            </w:r>
            <w:r>
              <w:rPr>
                <w:rFonts w:hint="eastAsia"/>
                <w:color w:val="auto"/>
                <w:highlight w:val="none"/>
                <w:lang w:val="en-US" w:eastAsia="zh-CN"/>
              </w:rPr>
              <w:t>询价</w:t>
            </w:r>
            <w:r>
              <w:rPr>
                <w:rFonts w:hint="eastAsia"/>
                <w:color w:val="auto"/>
                <w:highlight w:val="none"/>
              </w:rPr>
              <w:t>基准价，其价格分为满分</w:t>
            </w:r>
            <w:r>
              <w:rPr>
                <w:rFonts w:hint="eastAsia"/>
                <w:color w:val="auto"/>
                <w:highlight w:val="none"/>
                <w:lang w:val="en-US" w:eastAsia="zh-CN"/>
              </w:rPr>
              <w:t>10</w:t>
            </w:r>
            <w:r>
              <w:rPr>
                <w:rFonts w:hint="eastAsia"/>
                <w:color w:val="auto"/>
                <w:highlight w:val="none"/>
              </w:rPr>
              <w:t>分。其他供应商的价格分统一按照下列公式计算：</w:t>
            </w:r>
          </w:p>
          <w:p w14:paraId="1875B591">
            <w:pPr>
              <w:pStyle w:val="6"/>
              <w:rPr>
                <w:color w:val="auto"/>
                <w:highlight w:val="none"/>
              </w:rPr>
            </w:pPr>
            <w:r>
              <w:rPr>
                <w:rFonts w:hint="eastAsia"/>
                <w:strike w:val="0"/>
                <w:dstrike w:val="0"/>
                <w:color w:val="auto"/>
                <w:highlight w:val="none"/>
              </w:rPr>
              <w:t>最后</w:t>
            </w:r>
            <w:r>
              <w:rPr>
                <w:rFonts w:hint="eastAsia"/>
                <w:color w:val="auto"/>
                <w:highlight w:val="none"/>
              </w:rPr>
              <w:t>报价得分＝（</w:t>
            </w:r>
            <w:r>
              <w:rPr>
                <w:rFonts w:hint="eastAsia"/>
                <w:color w:val="auto"/>
                <w:highlight w:val="none"/>
                <w:lang w:val="en-US" w:eastAsia="zh-CN"/>
              </w:rPr>
              <w:t>询价</w:t>
            </w:r>
            <w:r>
              <w:rPr>
                <w:rFonts w:hint="eastAsia"/>
                <w:color w:val="auto"/>
                <w:highlight w:val="none"/>
              </w:rPr>
              <w:t>基准价/</w:t>
            </w:r>
            <w:r>
              <w:rPr>
                <w:rFonts w:hint="eastAsia"/>
                <w:strike w:val="0"/>
                <w:dstrike w:val="0"/>
                <w:color w:val="auto"/>
                <w:highlight w:val="none"/>
                <w:u w:val="none"/>
              </w:rPr>
              <w:t>最后</w:t>
            </w:r>
            <w:r>
              <w:rPr>
                <w:rFonts w:hint="eastAsia"/>
                <w:color w:val="auto"/>
                <w:highlight w:val="none"/>
              </w:rPr>
              <w:t>报价）×</w:t>
            </w:r>
            <w:r>
              <w:rPr>
                <w:rFonts w:hint="eastAsia"/>
                <w:color w:val="auto"/>
                <w:highlight w:val="none"/>
                <w:lang w:val="en-US" w:eastAsia="zh-CN"/>
              </w:rPr>
              <w:t>10</w:t>
            </w:r>
            <w:r>
              <w:rPr>
                <w:rFonts w:hint="eastAsia"/>
                <w:color w:val="auto"/>
                <w:highlight w:val="none"/>
              </w:rPr>
              <w:t>％×100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DB8B82">
            <w:pPr>
              <w:spacing w:line="360" w:lineRule="auto"/>
              <w:jc w:val="center"/>
              <w:rPr>
                <w:rFonts w:ascii="微软雅黑" w:hAnsi="微软雅黑" w:eastAsia="微软雅黑"/>
                <w:color w:val="auto"/>
                <w:sz w:val="24"/>
                <w:highlight w:val="none"/>
              </w:rPr>
            </w:pPr>
            <w:r>
              <w:rPr>
                <w:rFonts w:hint="eastAsia" w:ascii="'Times New Roman'" w:hAnsi="'Times New Roman'" w:eastAsia="宋体"/>
                <w:color w:val="auto"/>
                <w:szCs w:val="21"/>
                <w:highlight w:val="none"/>
                <w:lang w:eastAsia="zh-CN"/>
              </w:rPr>
              <w:t>满分</w:t>
            </w:r>
            <w:r>
              <w:rPr>
                <w:rFonts w:hint="eastAsia" w:ascii="'Times New Roman'" w:hAnsi="'Times New Roman'" w:eastAsia="宋体"/>
                <w:color w:val="auto"/>
                <w:szCs w:val="21"/>
                <w:highlight w:val="none"/>
                <w:lang w:val="en-US" w:eastAsia="zh-CN"/>
              </w:rPr>
              <w:t>10</w:t>
            </w:r>
            <w:r>
              <w:rPr>
                <w:rFonts w:ascii="'Times New Roman'" w:hAnsi="'Times New Roman'" w:eastAsia="'Times New Roman'"/>
                <w:color w:val="auto"/>
                <w:szCs w:val="21"/>
                <w:highlight w:val="none"/>
              </w:rPr>
              <w:t>分</w:t>
            </w:r>
          </w:p>
        </w:tc>
      </w:tr>
      <w:tr w14:paraId="5125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3635D0A3">
            <w:pPr>
              <w:spacing w:line="360" w:lineRule="auto"/>
              <w:jc w:val="center"/>
              <w:rPr>
                <w:rFonts w:ascii="微软雅黑" w:hAnsi="微软雅黑" w:eastAsia="微软雅黑"/>
                <w:color w:val="auto"/>
                <w:sz w:val="24"/>
                <w:highlight w:val="none"/>
              </w:rPr>
            </w:pPr>
            <w:r>
              <w:rPr>
                <w:rFonts w:ascii="宋体" w:hAnsi="宋体"/>
                <w:b/>
                <w:bCs/>
                <w:color w:val="auto"/>
                <w:szCs w:val="21"/>
                <w:highlight w:val="none"/>
              </w:rPr>
              <w:t>合计（100分）</w:t>
            </w:r>
          </w:p>
        </w:tc>
      </w:tr>
    </w:tbl>
    <w:p w14:paraId="473AC8F1">
      <w:pPr>
        <w:spacing w:line="360" w:lineRule="auto"/>
        <w:ind w:right="-10"/>
        <w:rPr>
          <w:rFonts w:hint="eastAsia" w:ascii="宋体" w:hAnsi="宋体" w:eastAsia="宋体"/>
          <w:b/>
          <w:bCs/>
          <w:color w:val="000000" w:themeColor="text1"/>
          <w:szCs w:val="21"/>
          <w14:textFill>
            <w14:solidFill>
              <w14:schemeClr w14:val="tx1"/>
            </w14:solidFill>
          </w14:textFill>
        </w:rPr>
      </w:pPr>
    </w:p>
    <w:p w14:paraId="41AB1377">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13FCD365">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3D1DB83E">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4CDFC6A8">
      <w:pPr>
        <w:pStyle w:val="15"/>
        <w:ind w:firstLine="640"/>
        <w:rPr>
          <w:color w:val="000000" w:themeColor="text1"/>
          <w14:textFill>
            <w14:solidFill>
              <w14:schemeClr w14:val="tx1"/>
            </w14:solidFill>
          </w14:textFill>
        </w:rPr>
      </w:pPr>
    </w:p>
    <w:p w14:paraId="2832421B">
      <w:pPr>
        <w:rPr>
          <w:color w:val="000000" w:themeColor="text1"/>
          <w14:textFill>
            <w14:solidFill>
              <w14:schemeClr w14:val="tx1"/>
            </w14:solidFill>
          </w14:textFill>
        </w:rPr>
      </w:pPr>
    </w:p>
    <w:p w14:paraId="477C5151">
      <w:pPr>
        <w:pStyle w:val="14"/>
        <w:ind w:right="-21" w:firstLine="540"/>
        <w:rPr>
          <w:color w:val="000000" w:themeColor="text1"/>
          <w14:textFill>
            <w14:solidFill>
              <w14:schemeClr w14:val="tx1"/>
            </w14:solidFill>
          </w14:textFill>
        </w:rPr>
      </w:pPr>
    </w:p>
    <w:p w14:paraId="4AE12881">
      <w:pPr>
        <w:pStyle w:val="14"/>
        <w:ind w:right="-21" w:firstLine="540"/>
        <w:rPr>
          <w:color w:val="000000" w:themeColor="text1"/>
          <w14:textFill>
            <w14:solidFill>
              <w14:schemeClr w14:val="tx1"/>
            </w14:solidFill>
          </w14:textFill>
        </w:rPr>
      </w:pPr>
    </w:p>
    <w:p w14:paraId="7A1E3CA2">
      <w:pPr>
        <w:rPr>
          <w:rFonts w:hint="eastAsia"/>
          <w:color w:val="000000" w:themeColor="text1"/>
          <w:sz w:val="32"/>
          <w:szCs w:val="32"/>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br w:type="page"/>
      </w:r>
    </w:p>
    <w:p w14:paraId="44D3B660">
      <w:pPr>
        <w:pStyle w:val="2"/>
        <w:spacing w:line="240" w:lineRule="auto"/>
        <w:jc w:val="center"/>
        <w:rPr>
          <w:rFonts w:ascii="宋体" w:hAnsi="宋体" w:eastAsia="宋体"/>
          <w:color w:val="000000" w:themeColor="text1"/>
          <w:sz w:val="24"/>
          <w:szCs w:val="24"/>
          <w14:textFill>
            <w14:solidFill>
              <w14:schemeClr w14:val="tx1"/>
            </w14:solidFill>
          </w14:textFill>
        </w:rPr>
      </w:pPr>
      <w:r>
        <w:rPr>
          <w:rFonts w:hint="eastAsia"/>
          <w:color w:val="000000" w:themeColor="text1"/>
          <w:sz w:val="32"/>
          <w:szCs w:val="32"/>
          <w14:textFill>
            <w14:solidFill>
              <w14:schemeClr w14:val="tx1"/>
            </w14:solidFill>
          </w14:textFill>
        </w:rPr>
        <w:t>第四章 采购需求</w:t>
      </w:r>
      <w:bookmarkEnd w:id="33"/>
    </w:p>
    <w:p w14:paraId="3915C9CE">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b/>
          <w:color w:val="000000" w:themeColor="text1"/>
          <w:sz w:val="24"/>
          <w:szCs w:val="24"/>
          <w14:textFill>
            <w14:solidFill>
              <w14:schemeClr w14:val="tx1"/>
            </w14:solidFill>
          </w14:textFill>
        </w:rPr>
      </w:pPr>
      <w:bookmarkStart w:id="34" w:name="_Toc32389"/>
      <w:r>
        <w:rPr>
          <w:rFonts w:hint="eastAsia" w:ascii="宋体" w:hAnsi="宋体" w:eastAsia="宋体"/>
          <w:b/>
          <w:color w:val="000000" w:themeColor="text1"/>
          <w:sz w:val="24"/>
          <w:szCs w:val="24"/>
          <w14:textFill>
            <w14:solidFill>
              <w14:schemeClr w14:val="tx1"/>
            </w14:solidFill>
          </w14:textFill>
        </w:rPr>
        <w:t>一、项目概况：</w:t>
      </w:r>
    </w:p>
    <w:p w14:paraId="2E1821D7">
      <w:pPr>
        <w:keepNext w:val="0"/>
        <w:keepLines w:val="0"/>
        <w:pageBreakBefore w:val="0"/>
        <w:widowControl w:val="0"/>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b/>
          <w:color w:val="000000" w:themeColor="text1"/>
          <w:sz w:val="21"/>
          <w:szCs w:val="21"/>
          <w14:textFill>
            <w14:solidFill>
              <w14:schemeClr w14:val="tx1"/>
            </w14:solidFill>
          </w14:textFill>
        </w:rPr>
        <w:t>项目背景：</w:t>
      </w:r>
      <w:r>
        <w:rPr>
          <w:rFonts w:hint="eastAsia" w:ascii="宋体" w:hAnsi="宋体" w:eastAsia="宋体" w:cs="宋体"/>
          <w:sz w:val="21"/>
          <w:szCs w:val="21"/>
          <w:shd w:val="clear" w:color="auto" w:fill="FFFFFF"/>
          <w:lang w:val="en-US" w:eastAsia="zh-CN"/>
        </w:rPr>
        <w:t>为保障游客在浮槎山景区的人身财产安全，避免因意外事故，造成第三者的人身伤亡或财产损失，拟为浮槎山景区及棋盘石书院购买场地公众责任险。</w:t>
      </w:r>
    </w:p>
    <w:p w14:paraId="7B0459D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b/>
          <w:color w:val="000000" w:themeColor="text1"/>
          <w:sz w:val="24"/>
          <w:szCs w:val="24"/>
          <w:lang w:val="en-US" w:eastAsia="zh-CN"/>
          <w14:textFill>
            <w14:solidFill>
              <w14:schemeClr w14:val="tx1"/>
            </w14:solidFill>
          </w14:textFill>
        </w:rPr>
      </w:pPr>
      <w:r>
        <w:rPr>
          <w:rFonts w:hint="eastAsia" w:ascii="宋体" w:hAnsi="宋体" w:eastAsia="宋体"/>
          <w:b/>
          <w:color w:val="000000" w:themeColor="text1"/>
          <w:sz w:val="24"/>
          <w:szCs w:val="24"/>
          <w:lang w:val="en-US" w:eastAsia="zh-CN"/>
          <w14:textFill>
            <w14:solidFill>
              <w14:schemeClr w14:val="tx1"/>
            </w14:solidFill>
          </w14:textFill>
        </w:rPr>
        <w:t>二、采购内容及要求：</w:t>
      </w:r>
    </w:p>
    <w:p w14:paraId="385713C8">
      <w:pPr>
        <w:keepNext w:val="0"/>
        <w:keepLines w:val="0"/>
        <w:pageBreakBefore w:val="0"/>
        <w:widowControl w:val="0"/>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内容：</w:t>
      </w:r>
    </w:p>
    <w:p w14:paraId="3FCC5122">
      <w:pPr>
        <w:keepNext w:val="0"/>
        <w:keepLines w:val="0"/>
        <w:pageBreakBefore w:val="0"/>
        <w:widowControl w:val="0"/>
        <w:numPr>
          <w:ilvl w:val="0"/>
          <w:numId w:val="3"/>
        </w:numPr>
        <w:kinsoku/>
        <w:wordWrap/>
        <w:overflowPunct/>
        <w:topLinePunct w:val="0"/>
        <w:autoSpaceDE/>
        <w:autoSpaceDN/>
        <w:bidi w:val="0"/>
        <w:adjustRightInd/>
        <w:snapToGrid/>
        <w:spacing w:line="460" w:lineRule="exact"/>
        <w:ind w:left="420" w:leftChars="200" w:firstLine="0" w:firstLineChars="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承保区域为安徽省合肥市肥东县浮槎山景区及棋盘石书院全域，总面积约5500亩，承保范围包含区域内所有运营项目与配套服务，具体涵盖魔毯、滑道、充气城堡等游乐项目，全部餐饮经营场所，以及含70间左右民宿客房及约200个停车位在内，同时覆盖景区公共游览区域、休闲步道、景观设施、公共配套等全部对外开放运营服务项目。</w:t>
      </w:r>
    </w:p>
    <w:p w14:paraId="076D6DCC">
      <w:pPr>
        <w:keepNext w:val="0"/>
        <w:keepLines w:val="0"/>
        <w:pageBreakBefore w:val="0"/>
        <w:widowControl w:val="0"/>
        <w:numPr>
          <w:ilvl w:val="0"/>
          <w:numId w:val="3"/>
        </w:numPr>
        <w:kinsoku/>
        <w:wordWrap/>
        <w:overflowPunct/>
        <w:topLinePunct w:val="0"/>
        <w:autoSpaceDE/>
        <w:autoSpaceDN/>
        <w:bidi w:val="0"/>
        <w:adjustRightInd/>
        <w:snapToGrid/>
        <w:spacing w:line="460" w:lineRule="exact"/>
        <w:ind w:left="420" w:leftChars="200" w:firstLine="0" w:firstLineChars="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保障对象为所有在肥东县浮槎山景区入园游客、外来访客、消费人员等全部第三者人员。</w:t>
      </w:r>
    </w:p>
    <w:p w14:paraId="66A690F9">
      <w:pPr>
        <w:keepNext w:val="0"/>
        <w:keepLines w:val="0"/>
        <w:pageBreakBefore w:val="0"/>
        <w:widowControl w:val="0"/>
        <w:numPr>
          <w:ilvl w:val="0"/>
          <w:numId w:val="3"/>
        </w:numPr>
        <w:kinsoku/>
        <w:wordWrap/>
        <w:overflowPunct/>
        <w:topLinePunct w:val="0"/>
        <w:autoSpaceDE/>
        <w:autoSpaceDN/>
        <w:bidi w:val="0"/>
        <w:adjustRightInd/>
        <w:snapToGrid/>
        <w:spacing w:line="460" w:lineRule="exact"/>
        <w:ind w:left="420" w:leftChars="200" w:firstLine="0" w:firstLineChars="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本项目采取总价报价。</w:t>
      </w:r>
      <w:r>
        <w:rPr>
          <w:rFonts w:hint="eastAsia" w:ascii="宋体" w:hAnsi="宋体" w:eastAsia="宋体" w:cs="宋体"/>
          <w:b/>
          <w:bCs/>
          <w:sz w:val="21"/>
          <w:szCs w:val="21"/>
          <w:shd w:val="clear" w:color="auto" w:fill="FFFFFF"/>
          <w:lang w:val="en-US" w:eastAsia="zh-CN"/>
        </w:rPr>
        <w:t>供应商所报总价不得高于9.9万元/年</w:t>
      </w:r>
      <w:r>
        <w:rPr>
          <w:rFonts w:hint="eastAsia" w:ascii="宋体" w:hAnsi="宋体" w:eastAsia="宋体" w:cs="宋体"/>
          <w:sz w:val="21"/>
          <w:szCs w:val="21"/>
          <w:shd w:val="clear" w:color="auto" w:fill="FFFFFF"/>
          <w:lang w:val="en-US" w:eastAsia="zh-CN"/>
        </w:rPr>
        <w:t>，报价包含完成本项目所有内容的费用，采购人后期不再追加任何费用。</w:t>
      </w:r>
    </w:p>
    <w:p w14:paraId="10AB0509">
      <w:pPr>
        <w:keepNext w:val="0"/>
        <w:keepLines w:val="0"/>
        <w:pageBreakBefore w:val="0"/>
        <w:widowControl w:val="0"/>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要求：</w:t>
      </w:r>
    </w:p>
    <w:tbl>
      <w:tblPr>
        <w:tblStyle w:val="16"/>
        <w:tblpPr w:leftFromText="180" w:rightFromText="180" w:vertAnchor="text" w:horzAnchor="page" w:tblpX="1836" w:tblpY="593"/>
        <w:tblOverlap w:val="never"/>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42"/>
        <w:gridCol w:w="5426"/>
        <w:gridCol w:w="1704"/>
      </w:tblGrid>
      <w:tr w14:paraId="55678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Align w:val="center"/>
          </w:tcPr>
          <w:p w14:paraId="72864173">
            <w:pPr>
              <w:pStyle w:val="27"/>
              <w:spacing w:after="0" w:line="560" w:lineRule="exact"/>
              <w:jc w:val="center"/>
              <w:rPr>
                <w:rFonts w:hint="eastAsia" w:ascii="宋体" w:hAnsi="宋体" w:eastAsia="宋体" w:cs="宋体"/>
                <w:b/>
                <w:bCs/>
                <w:sz w:val="21"/>
                <w:szCs w:val="21"/>
              </w:rPr>
            </w:pPr>
            <w:bookmarkStart w:id="35" w:name="_Hlk180487141"/>
            <w:r>
              <w:rPr>
                <w:rFonts w:hint="eastAsia" w:ascii="宋体" w:hAnsi="宋体" w:eastAsia="宋体" w:cs="宋体"/>
                <w:b/>
                <w:bCs/>
                <w:spacing w:val="-7"/>
                <w:sz w:val="21"/>
                <w:szCs w:val="21"/>
              </w:rPr>
              <w:t>险种</w:t>
            </w:r>
          </w:p>
        </w:tc>
        <w:tc>
          <w:tcPr>
            <w:tcW w:w="3164" w:type="pct"/>
            <w:vAlign w:val="center"/>
          </w:tcPr>
          <w:p w14:paraId="37AFAC2D">
            <w:pPr>
              <w:pStyle w:val="27"/>
              <w:spacing w:after="0" w:line="560" w:lineRule="exact"/>
              <w:jc w:val="center"/>
              <w:rPr>
                <w:rFonts w:hint="eastAsia" w:ascii="宋体" w:hAnsi="宋体" w:eastAsia="宋体" w:cs="宋体"/>
                <w:b/>
                <w:bCs/>
                <w:sz w:val="21"/>
                <w:szCs w:val="21"/>
              </w:rPr>
            </w:pPr>
            <w:r>
              <w:rPr>
                <w:rFonts w:hint="eastAsia" w:ascii="宋体" w:hAnsi="宋体" w:eastAsia="宋体" w:cs="宋体"/>
                <w:b/>
                <w:bCs/>
                <w:spacing w:val="-6"/>
                <w:sz w:val="21"/>
                <w:szCs w:val="21"/>
              </w:rPr>
              <w:t>限额性质</w:t>
            </w:r>
          </w:p>
        </w:tc>
        <w:tc>
          <w:tcPr>
            <w:tcW w:w="993" w:type="pct"/>
            <w:vAlign w:val="center"/>
          </w:tcPr>
          <w:p w14:paraId="582D24B4">
            <w:pPr>
              <w:pStyle w:val="27"/>
              <w:spacing w:after="0" w:line="560" w:lineRule="exact"/>
              <w:jc w:val="center"/>
              <w:rPr>
                <w:rFonts w:hint="eastAsia" w:ascii="宋体" w:hAnsi="宋体" w:eastAsia="宋体" w:cs="宋体"/>
                <w:b/>
                <w:bCs/>
                <w:sz w:val="21"/>
                <w:szCs w:val="21"/>
              </w:rPr>
            </w:pPr>
            <w:r>
              <w:rPr>
                <w:rFonts w:hint="eastAsia" w:ascii="宋体" w:hAnsi="宋体" w:eastAsia="宋体" w:cs="宋体"/>
                <w:b/>
                <w:bCs/>
                <w:spacing w:val="-8"/>
                <w:sz w:val="21"/>
                <w:szCs w:val="21"/>
              </w:rPr>
              <w:t>限额</w:t>
            </w:r>
            <w:r>
              <w:rPr>
                <w:rFonts w:hint="eastAsia" w:ascii="宋体" w:hAnsi="宋体" w:eastAsia="宋体" w:cs="宋体"/>
                <w:b/>
                <w:bCs/>
                <w:spacing w:val="-8"/>
                <w:sz w:val="21"/>
                <w:szCs w:val="21"/>
                <w:lang w:eastAsia="zh-CN"/>
              </w:rPr>
              <w:t>（元）</w:t>
            </w:r>
          </w:p>
        </w:tc>
      </w:tr>
      <w:tr w14:paraId="7CA03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Merge w:val="restart"/>
            <w:vAlign w:val="center"/>
          </w:tcPr>
          <w:p w14:paraId="3A468458">
            <w:pPr>
              <w:pStyle w:val="27"/>
              <w:spacing w:after="0" w:line="560" w:lineRule="exact"/>
              <w:jc w:val="center"/>
              <w:rPr>
                <w:rFonts w:hint="eastAsia" w:ascii="宋体" w:hAnsi="宋体" w:eastAsia="宋体" w:cs="宋体"/>
                <w:b/>
                <w:bCs/>
                <w:spacing w:val="-7"/>
                <w:sz w:val="21"/>
                <w:szCs w:val="21"/>
              </w:rPr>
            </w:pPr>
            <w:r>
              <w:rPr>
                <w:rFonts w:hint="eastAsia" w:ascii="宋体" w:hAnsi="宋体" w:eastAsia="宋体" w:cs="宋体"/>
                <w:b/>
                <w:bCs/>
                <w:spacing w:val="-7"/>
                <w:sz w:val="21"/>
                <w:szCs w:val="21"/>
              </w:rPr>
              <w:t>公众责任保险</w:t>
            </w:r>
          </w:p>
        </w:tc>
        <w:tc>
          <w:tcPr>
            <w:tcW w:w="3164" w:type="pct"/>
            <w:vAlign w:val="center"/>
          </w:tcPr>
          <w:p w14:paraId="3343FB92">
            <w:pPr>
              <w:pStyle w:val="27"/>
              <w:spacing w:after="0" w:line="560" w:lineRule="exact"/>
              <w:jc w:val="both"/>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累计赔偿限额</w:t>
            </w:r>
          </w:p>
        </w:tc>
        <w:tc>
          <w:tcPr>
            <w:tcW w:w="993" w:type="pct"/>
          </w:tcPr>
          <w:p w14:paraId="60E053E5">
            <w:pPr>
              <w:pStyle w:val="27"/>
              <w:spacing w:after="0" w:line="560" w:lineRule="exact"/>
              <w:jc w:val="right"/>
              <w:rPr>
                <w:rFonts w:hint="eastAsia" w:ascii="宋体" w:hAnsi="宋体" w:eastAsia="宋体" w:cs="宋体"/>
                <w:sz w:val="21"/>
                <w:szCs w:val="21"/>
                <w:highlight w:val="none"/>
                <w:lang w:eastAsia="zh-CN"/>
              </w:rPr>
            </w:pPr>
            <w:r>
              <w:rPr>
                <w:rFonts w:hint="eastAsia" w:cs="宋体"/>
                <w:spacing w:val="-2"/>
                <w:sz w:val="21"/>
                <w:szCs w:val="21"/>
                <w:highlight w:val="none"/>
                <w:lang w:val="en-US" w:eastAsia="zh-CN"/>
              </w:rPr>
              <w:t>8</w:t>
            </w:r>
            <w:r>
              <w:rPr>
                <w:rFonts w:hint="eastAsia" w:ascii="宋体" w:hAnsi="宋体" w:eastAsia="宋体" w:cs="宋体"/>
                <w:spacing w:val="-2"/>
                <w:sz w:val="21"/>
                <w:szCs w:val="21"/>
                <w:highlight w:val="none"/>
                <w:lang w:val="en-US" w:eastAsia="zh-CN"/>
              </w:rPr>
              <w:t>000000</w:t>
            </w:r>
            <w:r>
              <w:rPr>
                <w:rFonts w:hint="eastAsia" w:ascii="宋体" w:hAnsi="宋体" w:eastAsia="宋体" w:cs="宋体"/>
                <w:spacing w:val="-2"/>
                <w:sz w:val="21"/>
                <w:szCs w:val="21"/>
                <w:highlight w:val="none"/>
                <w:lang w:eastAsia="zh-CN"/>
              </w:rPr>
              <w:t>.00</w:t>
            </w:r>
          </w:p>
        </w:tc>
      </w:tr>
      <w:tr w14:paraId="043D4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Merge w:val="continue"/>
          </w:tcPr>
          <w:p w14:paraId="29E4320F">
            <w:pPr>
              <w:autoSpaceDE w:val="0"/>
              <w:autoSpaceDN w:val="0"/>
              <w:spacing w:line="560" w:lineRule="exact"/>
              <w:rPr>
                <w:rFonts w:hint="eastAsia" w:ascii="宋体" w:hAnsi="宋体" w:eastAsia="宋体" w:cs="宋体"/>
                <w:sz w:val="21"/>
                <w:szCs w:val="21"/>
              </w:rPr>
            </w:pPr>
          </w:p>
        </w:tc>
        <w:tc>
          <w:tcPr>
            <w:tcW w:w="3164" w:type="pct"/>
            <w:vAlign w:val="center"/>
          </w:tcPr>
          <w:p w14:paraId="69633B02">
            <w:pPr>
              <w:pStyle w:val="27"/>
              <w:spacing w:after="0" w:line="560" w:lineRule="exact"/>
              <w:jc w:val="both"/>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每次事故财产损失赔偿限额</w:t>
            </w:r>
          </w:p>
        </w:tc>
        <w:tc>
          <w:tcPr>
            <w:tcW w:w="993" w:type="pct"/>
          </w:tcPr>
          <w:p w14:paraId="4D7561D5">
            <w:pPr>
              <w:pStyle w:val="27"/>
              <w:spacing w:after="0" w:line="560" w:lineRule="exact"/>
              <w:jc w:val="right"/>
              <w:rPr>
                <w:rFonts w:hint="eastAsia" w:ascii="宋体" w:hAnsi="宋体" w:eastAsia="宋体" w:cs="宋体"/>
                <w:sz w:val="21"/>
                <w:szCs w:val="21"/>
                <w:lang w:eastAsia="zh-CN"/>
              </w:rPr>
            </w:pPr>
            <w:r>
              <w:rPr>
                <w:rFonts w:hint="eastAsia" w:cs="宋体"/>
                <w:spacing w:val="-3"/>
                <w:sz w:val="21"/>
                <w:szCs w:val="21"/>
                <w:lang w:val="en-US" w:eastAsia="zh-CN"/>
              </w:rPr>
              <w:t>3</w:t>
            </w:r>
            <w:r>
              <w:rPr>
                <w:rFonts w:hint="eastAsia" w:ascii="宋体" w:hAnsi="宋体" w:eastAsia="宋体" w:cs="宋体"/>
                <w:spacing w:val="-3"/>
                <w:sz w:val="21"/>
                <w:szCs w:val="21"/>
                <w:lang w:val="en-US" w:eastAsia="zh-CN"/>
              </w:rPr>
              <w:t>000000</w:t>
            </w:r>
            <w:r>
              <w:rPr>
                <w:rFonts w:hint="eastAsia" w:ascii="宋体" w:hAnsi="宋体" w:eastAsia="宋体" w:cs="宋体"/>
                <w:spacing w:val="-3"/>
                <w:sz w:val="21"/>
                <w:szCs w:val="21"/>
                <w:lang w:eastAsia="zh-CN"/>
              </w:rPr>
              <w:t>.00</w:t>
            </w:r>
          </w:p>
        </w:tc>
      </w:tr>
      <w:tr w14:paraId="55D70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Merge w:val="continue"/>
          </w:tcPr>
          <w:p w14:paraId="682888D4">
            <w:pPr>
              <w:autoSpaceDE w:val="0"/>
              <w:autoSpaceDN w:val="0"/>
              <w:spacing w:line="560" w:lineRule="exact"/>
              <w:rPr>
                <w:rFonts w:hint="eastAsia" w:ascii="宋体" w:hAnsi="宋体" w:eastAsia="宋体" w:cs="宋体"/>
                <w:sz w:val="21"/>
                <w:szCs w:val="21"/>
              </w:rPr>
            </w:pPr>
          </w:p>
        </w:tc>
        <w:tc>
          <w:tcPr>
            <w:tcW w:w="3164" w:type="pct"/>
            <w:vAlign w:val="center"/>
          </w:tcPr>
          <w:p w14:paraId="42014FE1">
            <w:pPr>
              <w:pStyle w:val="27"/>
              <w:spacing w:after="0" w:line="560" w:lineRule="exact"/>
              <w:jc w:val="both"/>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每次事故人身伤亡赔偿限额</w:t>
            </w:r>
          </w:p>
        </w:tc>
        <w:tc>
          <w:tcPr>
            <w:tcW w:w="993" w:type="pct"/>
          </w:tcPr>
          <w:p w14:paraId="62B38D1F">
            <w:pPr>
              <w:pStyle w:val="27"/>
              <w:spacing w:after="0" w:line="560" w:lineRule="exact"/>
              <w:jc w:val="right"/>
              <w:rPr>
                <w:rFonts w:hint="eastAsia" w:ascii="宋体" w:hAnsi="宋体" w:eastAsia="宋体" w:cs="宋体"/>
                <w:sz w:val="21"/>
                <w:szCs w:val="21"/>
                <w:lang w:eastAsia="zh-CN"/>
              </w:rPr>
            </w:pPr>
            <w:r>
              <w:rPr>
                <w:rFonts w:hint="eastAsia" w:cs="宋体"/>
                <w:spacing w:val="-3"/>
                <w:sz w:val="21"/>
                <w:szCs w:val="21"/>
                <w:lang w:val="en-US" w:eastAsia="zh-CN"/>
              </w:rPr>
              <w:t>5</w:t>
            </w:r>
            <w:r>
              <w:rPr>
                <w:rFonts w:hint="eastAsia" w:ascii="宋体" w:hAnsi="宋体" w:eastAsia="宋体" w:cs="宋体"/>
                <w:spacing w:val="-3"/>
                <w:sz w:val="21"/>
                <w:szCs w:val="21"/>
                <w:lang w:val="en-US" w:eastAsia="zh-CN"/>
              </w:rPr>
              <w:t>000000</w:t>
            </w:r>
            <w:r>
              <w:rPr>
                <w:rFonts w:hint="eastAsia" w:ascii="宋体" w:hAnsi="宋体" w:eastAsia="宋体" w:cs="宋体"/>
                <w:spacing w:val="-3"/>
                <w:sz w:val="21"/>
                <w:szCs w:val="21"/>
                <w:lang w:eastAsia="zh-CN"/>
              </w:rPr>
              <w:t>.00</w:t>
            </w:r>
          </w:p>
        </w:tc>
      </w:tr>
      <w:tr w14:paraId="6E326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Merge w:val="continue"/>
          </w:tcPr>
          <w:p w14:paraId="67C5E9C7">
            <w:pPr>
              <w:autoSpaceDE w:val="0"/>
              <w:autoSpaceDN w:val="0"/>
              <w:spacing w:line="560" w:lineRule="exact"/>
              <w:rPr>
                <w:rFonts w:hint="eastAsia" w:ascii="宋体" w:hAnsi="宋体" w:eastAsia="宋体" w:cs="宋体"/>
                <w:sz w:val="21"/>
                <w:szCs w:val="21"/>
              </w:rPr>
            </w:pPr>
          </w:p>
        </w:tc>
        <w:tc>
          <w:tcPr>
            <w:tcW w:w="3164" w:type="pct"/>
            <w:vAlign w:val="center"/>
          </w:tcPr>
          <w:p w14:paraId="18EDD1AA">
            <w:pPr>
              <w:pStyle w:val="27"/>
              <w:spacing w:after="0" w:line="560" w:lineRule="exact"/>
              <w:jc w:val="both"/>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每次事故赔偿限额</w:t>
            </w:r>
          </w:p>
        </w:tc>
        <w:tc>
          <w:tcPr>
            <w:tcW w:w="993" w:type="pct"/>
          </w:tcPr>
          <w:p w14:paraId="1266877A">
            <w:pPr>
              <w:pStyle w:val="27"/>
              <w:spacing w:after="0" w:line="560" w:lineRule="exact"/>
              <w:jc w:val="right"/>
              <w:rPr>
                <w:rFonts w:hint="eastAsia" w:ascii="宋体" w:hAnsi="宋体" w:eastAsia="宋体" w:cs="宋体"/>
                <w:sz w:val="21"/>
                <w:szCs w:val="21"/>
                <w:highlight w:val="none"/>
                <w:lang w:eastAsia="zh-CN"/>
              </w:rPr>
            </w:pPr>
            <w:r>
              <w:rPr>
                <w:rFonts w:hint="eastAsia" w:cs="宋体"/>
                <w:spacing w:val="-2"/>
                <w:sz w:val="21"/>
                <w:szCs w:val="21"/>
                <w:highlight w:val="none"/>
                <w:lang w:val="en-US" w:eastAsia="zh-CN"/>
              </w:rPr>
              <w:t>8</w:t>
            </w:r>
            <w:r>
              <w:rPr>
                <w:rFonts w:hint="eastAsia" w:ascii="宋体" w:hAnsi="宋体" w:eastAsia="宋体" w:cs="宋体"/>
                <w:spacing w:val="-2"/>
                <w:sz w:val="21"/>
                <w:szCs w:val="21"/>
                <w:highlight w:val="none"/>
                <w:lang w:val="en-US" w:eastAsia="zh-CN"/>
              </w:rPr>
              <w:t>000000</w:t>
            </w:r>
            <w:r>
              <w:rPr>
                <w:rFonts w:hint="eastAsia" w:ascii="宋体" w:hAnsi="宋体" w:eastAsia="宋体" w:cs="宋体"/>
                <w:spacing w:val="-2"/>
                <w:sz w:val="21"/>
                <w:szCs w:val="21"/>
                <w:highlight w:val="none"/>
                <w:lang w:eastAsia="zh-CN"/>
              </w:rPr>
              <w:t>.00</w:t>
            </w:r>
          </w:p>
        </w:tc>
      </w:tr>
      <w:tr w14:paraId="5A3A7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41" w:type="pct"/>
            <w:vMerge w:val="continue"/>
          </w:tcPr>
          <w:p w14:paraId="3E334895">
            <w:pPr>
              <w:autoSpaceDE w:val="0"/>
              <w:autoSpaceDN w:val="0"/>
              <w:spacing w:line="560" w:lineRule="exact"/>
              <w:rPr>
                <w:rFonts w:hint="eastAsia" w:ascii="宋体" w:hAnsi="宋体" w:eastAsia="宋体" w:cs="宋体"/>
                <w:sz w:val="21"/>
                <w:szCs w:val="21"/>
              </w:rPr>
            </w:pPr>
          </w:p>
        </w:tc>
        <w:tc>
          <w:tcPr>
            <w:tcW w:w="3164" w:type="pct"/>
            <w:vAlign w:val="center"/>
          </w:tcPr>
          <w:p w14:paraId="412FBBCC">
            <w:pPr>
              <w:pStyle w:val="27"/>
              <w:spacing w:after="0" w:line="560" w:lineRule="exact"/>
              <w:jc w:val="both"/>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每次事故每人赔偿限额</w:t>
            </w:r>
          </w:p>
        </w:tc>
        <w:tc>
          <w:tcPr>
            <w:tcW w:w="993" w:type="pct"/>
          </w:tcPr>
          <w:p w14:paraId="47F49529">
            <w:pPr>
              <w:pStyle w:val="27"/>
              <w:spacing w:after="0" w:line="560" w:lineRule="exact"/>
              <w:jc w:val="right"/>
              <w:rPr>
                <w:rFonts w:hint="eastAsia" w:ascii="宋体" w:hAnsi="宋体" w:eastAsia="宋体" w:cs="宋体"/>
                <w:sz w:val="21"/>
                <w:szCs w:val="21"/>
                <w:lang w:eastAsia="zh-CN"/>
              </w:rPr>
            </w:pPr>
            <w:r>
              <w:rPr>
                <w:rFonts w:hint="eastAsia" w:cs="宋体"/>
                <w:spacing w:val="-2"/>
                <w:sz w:val="21"/>
                <w:szCs w:val="21"/>
                <w:lang w:val="en-US" w:eastAsia="zh-CN"/>
              </w:rPr>
              <w:t>3</w:t>
            </w:r>
            <w:r>
              <w:rPr>
                <w:rFonts w:hint="eastAsia" w:ascii="宋体" w:hAnsi="宋体" w:eastAsia="宋体" w:cs="宋体"/>
                <w:spacing w:val="-2"/>
                <w:sz w:val="21"/>
                <w:szCs w:val="21"/>
                <w:lang w:val="en-US" w:eastAsia="zh-CN"/>
              </w:rPr>
              <w:t>00000</w:t>
            </w:r>
            <w:r>
              <w:rPr>
                <w:rFonts w:hint="eastAsia" w:ascii="宋体" w:hAnsi="宋体" w:eastAsia="宋体" w:cs="宋体"/>
                <w:spacing w:val="-2"/>
                <w:sz w:val="21"/>
                <w:szCs w:val="21"/>
                <w:lang w:eastAsia="zh-CN"/>
              </w:rPr>
              <w:t>.00</w:t>
            </w:r>
          </w:p>
        </w:tc>
      </w:tr>
      <w:tr w14:paraId="69A3C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41" w:type="pct"/>
            <w:vMerge w:val="continue"/>
          </w:tcPr>
          <w:p w14:paraId="3B6B0C1C">
            <w:pPr>
              <w:autoSpaceDE w:val="0"/>
              <w:autoSpaceDN w:val="0"/>
              <w:spacing w:line="560" w:lineRule="exact"/>
              <w:rPr>
                <w:rFonts w:hint="eastAsia" w:ascii="宋体" w:hAnsi="宋体" w:eastAsia="宋体" w:cs="宋体"/>
                <w:sz w:val="21"/>
                <w:szCs w:val="21"/>
              </w:rPr>
            </w:pPr>
          </w:p>
        </w:tc>
        <w:tc>
          <w:tcPr>
            <w:tcW w:w="3164" w:type="pct"/>
            <w:vAlign w:val="center"/>
          </w:tcPr>
          <w:p w14:paraId="23BAC854">
            <w:pPr>
              <w:pStyle w:val="27"/>
              <w:spacing w:after="0" w:line="560" w:lineRule="exact"/>
              <w:jc w:val="both"/>
              <w:rPr>
                <w:rFonts w:hint="eastAsia" w:ascii="宋体" w:hAnsi="宋体" w:eastAsia="宋体" w:cs="宋体"/>
                <w:sz w:val="21"/>
                <w:szCs w:val="21"/>
                <w:lang w:eastAsia="zh-CN"/>
              </w:rPr>
            </w:pPr>
            <w:r>
              <w:rPr>
                <w:rFonts w:hint="eastAsia" w:ascii="宋体" w:hAnsi="宋体" w:eastAsia="宋体" w:cs="宋体"/>
                <w:spacing w:val="-1"/>
                <w:sz w:val="21"/>
                <w:szCs w:val="21"/>
                <w:lang w:eastAsia="zh-CN"/>
              </w:rPr>
              <w:t>每人医疗费用赔偿限额</w:t>
            </w:r>
          </w:p>
        </w:tc>
        <w:tc>
          <w:tcPr>
            <w:tcW w:w="993" w:type="pct"/>
          </w:tcPr>
          <w:p w14:paraId="6A2B2C20">
            <w:pPr>
              <w:pStyle w:val="27"/>
              <w:spacing w:after="0" w:line="560" w:lineRule="exact"/>
              <w:jc w:val="right"/>
              <w:rPr>
                <w:rFonts w:hint="eastAsia" w:ascii="宋体" w:hAnsi="宋体" w:eastAsia="宋体" w:cs="宋体"/>
                <w:sz w:val="21"/>
                <w:szCs w:val="21"/>
                <w:lang w:eastAsia="zh-CN"/>
              </w:rPr>
            </w:pPr>
            <w:r>
              <w:rPr>
                <w:rFonts w:hint="eastAsia" w:ascii="宋体" w:hAnsi="宋体" w:eastAsia="宋体" w:cs="宋体"/>
                <w:spacing w:val="-3"/>
                <w:sz w:val="21"/>
                <w:szCs w:val="21"/>
                <w:lang w:val="en-US" w:eastAsia="zh-CN"/>
              </w:rPr>
              <w:t>50000</w:t>
            </w:r>
            <w:r>
              <w:rPr>
                <w:rFonts w:hint="eastAsia" w:ascii="宋体" w:hAnsi="宋体" w:eastAsia="宋体" w:cs="宋体"/>
                <w:spacing w:val="-3"/>
                <w:sz w:val="21"/>
                <w:szCs w:val="21"/>
                <w:lang w:eastAsia="zh-CN"/>
              </w:rPr>
              <w:t>.00</w:t>
            </w:r>
          </w:p>
        </w:tc>
      </w:tr>
      <w:tr w14:paraId="5D2A7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 w:hRule="atLeast"/>
        </w:trPr>
        <w:tc>
          <w:tcPr>
            <w:tcW w:w="841" w:type="pct"/>
            <w:vMerge w:val="continue"/>
          </w:tcPr>
          <w:p w14:paraId="150AE43A">
            <w:pPr>
              <w:autoSpaceDE w:val="0"/>
              <w:autoSpaceDN w:val="0"/>
              <w:spacing w:line="560" w:lineRule="exact"/>
              <w:rPr>
                <w:rFonts w:hint="eastAsia" w:ascii="宋体" w:hAnsi="宋体" w:eastAsia="宋体" w:cs="宋体"/>
                <w:sz w:val="21"/>
                <w:szCs w:val="21"/>
              </w:rPr>
            </w:pPr>
          </w:p>
        </w:tc>
        <w:tc>
          <w:tcPr>
            <w:tcW w:w="3164" w:type="pct"/>
            <w:vAlign w:val="center"/>
          </w:tcPr>
          <w:p w14:paraId="746A7C37">
            <w:pPr>
              <w:pStyle w:val="27"/>
              <w:spacing w:after="0" w:line="560" w:lineRule="exact"/>
              <w:jc w:val="both"/>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每人财产损失费用赔偿限额</w:t>
            </w:r>
          </w:p>
        </w:tc>
        <w:tc>
          <w:tcPr>
            <w:tcW w:w="993" w:type="pct"/>
          </w:tcPr>
          <w:p w14:paraId="7233BE79">
            <w:pPr>
              <w:pStyle w:val="27"/>
              <w:spacing w:after="0" w:line="560" w:lineRule="exact"/>
              <w:jc w:val="right"/>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20000.00</w:t>
            </w:r>
          </w:p>
        </w:tc>
      </w:tr>
      <w:bookmarkEnd w:id="35"/>
    </w:tbl>
    <w:p w14:paraId="0B4E5139">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shd w:val="clear" w:color="auto" w:fill="FFFFFF"/>
          <w:lang w:val="en-US" w:eastAsia="zh-CN"/>
        </w:rPr>
        <w:t>保险责任及保额：</w:t>
      </w:r>
    </w:p>
    <w:p w14:paraId="76C23D5F">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 （保险事故发生后，被保险人因保险事故被提起仲裁或诉讼的，由此产生的诉讼费、仲裁费、律师费等全部必要合理法律费用，由保险人承担，该部分费用在赔偿限额之外另行计算）</w:t>
      </w:r>
    </w:p>
    <w:p w14:paraId="26487F64">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免赔：</w:t>
      </w:r>
      <w:r>
        <w:rPr>
          <w:rFonts w:hint="eastAsia" w:ascii="宋体" w:hAnsi="宋体" w:eastAsia="宋体" w:cs="宋体"/>
          <w:sz w:val="21"/>
          <w:szCs w:val="21"/>
          <w:highlight w:val="none"/>
        </w:rPr>
        <w:t>每次事故绝对免赔额人民币</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00元或损失金额的10%，两者以高者为准。</w:t>
      </w:r>
    </w:p>
    <w:p w14:paraId="23A8B47E">
      <w:pPr>
        <w:keepNext w:val="0"/>
        <w:keepLines w:val="0"/>
        <w:pageBreakBefore w:val="0"/>
        <w:widowControl w:val="0"/>
        <w:kinsoku/>
        <w:wordWrap/>
        <w:overflowPunct/>
        <w:topLinePunct w:val="0"/>
        <w:autoSpaceDE/>
        <w:autoSpaceDN/>
        <w:bidi w:val="0"/>
        <w:adjustRightInd/>
        <w:snapToGrid/>
        <w:spacing w:line="460" w:lineRule="exact"/>
        <w:ind w:left="420" w:leftChars="200"/>
        <w:textAlignment w:val="auto"/>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3、发生第三者人身伤亡或财产损失案件后，成交供应商需在保险合同约定的期限内进行保险理赔。在保险理赔时，双方对赔付金额无法达成一致时，以法院判决为准。</w:t>
      </w:r>
    </w:p>
    <w:p w14:paraId="714CB2B7">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lang w:val="en-US" w:eastAsia="zh-CN"/>
          <w14:textFill>
            <w14:solidFill>
              <w14:schemeClr w14:val="tx1"/>
            </w14:solidFill>
          </w14:textFill>
        </w:rPr>
        <w:t>三</w:t>
      </w:r>
      <w:r>
        <w:rPr>
          <w:rFonts w:hint="eastAsia" w:ascii="宋体" w:hAnsi="宋体" w:eastAsia="宋体"/>
          <w:b/>
          <w:color w:val="000000" w:themeColor="text1"/>
          <w:sz w:val="24"/>
          <w:szCs w:val="24"/>
          <w14:textFill>
            <w14:solidFill>
              <w14:schemeClr w14:val="tx1"/>
            </w14:solidFill>
          </w14:textFill>
        </w:rPr>
        <w:t>、供应商资格要求：</w:t>
      </w:r>
    </w:p>
    <w:p w14:paraId="1723E9F7">
      <w:pPr>
        <w:spacing w:line="480" w:lineRule="exact"/>
        <w:ind w:firstLine="630" w:firstLineChars="300"/>
        <w:jc w:val="left"/>
        <w:rPr>
          <w:rFonts w:hint="eastAsia" w:ascii="宋体" w:hAnsi="宋体" w:eastAsia="宋体"/>
          <w:color w:val="auto"/>
          <w:szCs w:val="21"/>
          <w:highlight w:val="none"/>
          <w:shd w:val="clear" w:color="auto" w:fill="FFFFFF"/>
          <w:lang w:eastAsia="zh-CN"/>
        </w:rPr>
      </w:pPr>
      <w:r>
        <w:rPr>
          <w:rFonts w:ascii="宋体" w:hAnsi="宋体" w:eastAsia="宋体"/>
          <w:color w:val="auto"/>
          <w:szCs w:val="21"/>
          <w:highlight w:val="none"/>
          <w:shd w:val="clear" w:color="auto" w:fill="FFFFFF"/>
        </w:rPr>
        <w:t>1</w:t>
      </w:r>
      <w:r>
        <w:rPr>
          <w:rFonts w:hint="eastAsia" w:ascii="宋体" w:hAnsi="宋体" w:eastAsia="宋体"/>
          <w:color w:val="auto"/>
          <w:szCs w:val="21"/>
          <w:highlight w:val="none"/>
          <w:shd w:val="clear" w:color="auto" w:fill="FFFFFF"/>
          <w:lang w:eastAsia="zh-CN"/>
        </w:rPr>
        <w:t>.供应商须具有行业监管部门颁发的保险许可证（同一保险公司只允许一家机构参与磋商），保险机构投标供应商可以是分公司或者分支机构；提供有效的营业执照、税务登记证、组织机构代码证（三证合一的仅提供相应的营业执照）；</w:t>
      </w:r>
    </w:p>
    <w:p w14:paraId="3F90AB55">
      <w:pPr>
        <w:spacing w:line="480" w:lineRule="exact"/>
        <w:ind w:firstLine="630" w:firstLineChars="300"/>
        <w:jc w:val="left"/>
        <w:rPr>
          <w:rFonts w:ascii="宋体" w:hAnsi="宋体" w:eastAsia="宋体"/>
          <w:color w:val="auto"/>
          <w:szCs w:val="21"/>
          <w:highlight w:val="none"/>
          <w:shd w:val="clear" w:color="auto" w:fill="FFFFFF"/>
        </w:rPr>
      </w:pPr>
      <w:r>
        <w:rPr>
          <w:rFonts w:hint="eastAsia" w:ascii="宋体" w:hAnsi="宋体" w:eastAsia="宋体"/>
          <w:color w:val="auto"/>
          <w:szCs w:val="21"/>
          <w:highlight w:val="none"/>
          <w:shd w:val="clear" w:color="auto" w:fill="FFFFFF"/>
          <w:lang w:val="en-US" w:eastAsia="zh-CN"/>
        </w:rPr>
        <w:t>2</w:t>
      </w:r>
      <w:r>
        <w:rPr>
          <w:rFonts w:hint="eastAsia" w:ascii="宋体" w:hAnsi="宋体" w:eastAsia="宋体"/>
          <w:color w:val="auto"/>
          <w:szCs w:val="21"/>
          <w:highlight w:val="none"/>
          <w:shd w:val="clear" w:color="auto" w:fill="FFFFFF"/>
          <w:lang w:eastAsia="zh-CN"/>
        </w:rPr>
        <w:t>.</w:t>
      </w:r>
      <w:r>
        <w:rPr>
          <w:rFonts w:hint="eastAsia" w:ascii="宋体" w:hAnsi="宋体" w:eastAsia="宋体"/>
          <w:color w:val="auto"/>
          <w:szCs w:val="21"/>
          <w:highlight w:val="none"/>
          <w:shd w:val="clear" w:color="auto" w:fill="FFFFFF"/>
        </w:rPr>
        <w:t xml:space="preserve">不得存在以下不良信用记录情形之一： </w:t>
      </w:r>
    </w:p>
    <w:p w14:paraId="654BB921">
      <w:pPr>
        <w:spacing w:line="480" w:lineRule="exact"/>
        <w:ind w:firstLine="630" w:firstLineChars="300"/>
        <w:jc w:val="left"/>
        <w:rPr>
          <w:rFonts w:ascii="宋体" w:hAnsi="宋体" w:eastAsia="宋体"/>
          <w:color w:val="auto"/>
          <w:szCs w:val="21"/>
          <w:highlight w:val="none"/>
          <w:shd w:val="clear" w:color="auto" w:fill="FFFFFF"/>
        </w:rPr>
      </w:pPr>
      <w:r>
        <w:rPr>
          <w:rFonts w:hint="eastAsia" w:ascii="宋体" w:hAnsi="宋体" w:eastAsia="宋体"/>
          <w:color w:val="auto"/>
          <w:szCs w:val="21"/>
          <w:highlight w:val="none"/>
          <w:shd w:val="clear" w:color="auto" w:fill="FFFFFF"/>
        </w:rPr>
        <w:t xml:space="preserve">(1)供应商被人民法院列入失信被执行人的； </w:t>
      </w:r>
    </w:p>
    <w:p w14:paraId="0EDE8A5E">
      <w:pPr>
        <w:spacing w:line="480" w:lineRule="exact"/>
        <w:ind w:firstLine="630" w:firstLineChars="300"/>
        <w:jc w:val="left"/>
        <w:rPr>
          <w:rFonts w:ascii="宋体" w:hAnsi="宋体" w:eastAsia="宋体"/>
          <w:color w:val="auto"/>
          <w:szCs w:val="21"/>
          <w:highlight w:val="none"/>
          <w:shd w:val="clear" w:color="auto" w:fill="FFFFFF"/>
        </w:rPr>
      </w:pPr>
      <w:r>
        <w:rPr>
          <w:rFonts w:hint="eastAsia" w:ascii="宋体" w:hAnsi="宋体" w:eastAsia="宋体"/>
          <w:color w:val="auto"/>
          <w:szCs w:val="21"/>
          <w:highlight w:val="none"/>
          <w:shd w:val="clear" w:color="auto" w:fill="FFFFFF"/>
        </w:rPr>
        <w:t xml:space="preserve">(2)供应商被税务部门列入重大税收违法案件当事人名单的； </w:t>
      </w:r>
    </w:p>
    <w:p w14:paraId="581FE992">
      <w:pPr>
        <w:spacing w:line="480" w:lineRule="exact"/>
        <w:ind w:firstLine="630" w:firstLineChars="300"/>
        <w:jc w:val="left"/>
        <w:rPr>
          <w:rFonts w:ascii="宋体" w:hAnsi="宋体" w:eastAsia="宋体"/>
          <w:color w:val="auto"/>
          <w:szCs w:val="21"/>
          <w:highlight w:val="none"/>
          <w:shd w:val="clear" w:color="auto" w:fill="FFFFFF"/>
        </w:rPr>
      </w:pPr>
      <w:r>
        <w:rPr>
          <w:rFonts w:hint="eastAsia" w:ascii="宋体" w:hAnsi="宋体" w:eastAsia="宋体"/>
          <w:color w:val="auto"/>
          <w:szCs w:val="21"/>
          <w:highlight w:val="none"/>
          <w:shd w:val="clear" w:color="auto" w:fill="FFFFFF"/>
        </w:rPr>
        <w:t xml:space="preserve">(3)供应商被工商行政管理部门列入企业经营异常名录的； </w:t>
      </w:r>
    </w:p>
    <w:p w14:paraId="4AD96F0B">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auto"/>
          <w:szCs w:val="21"/>
          <w:highlight w:val="none"/>
          <w:shd w:val="clear" w:color="auto" w:fill="FFFFFF"/>
          <w:lang w:val="en-US" w:eastAsia="zh-CN"/>
        </w:rPr>
        <w:t>3</w:t>
      </w:r>
      <w:r>
        <w:rPr>
          <w:rFonts w:hint="eastAsia" w:ascii="宋体" w:hAnsi="宋体" w:eastAsia="宋体"/>
          <w:color w:val="auto"/>
          <w:szCs w:val="21"/>
          <w:highlight w:val="none"/>
          <w:shd w:val="clear" w:color="auto" w:fill="FFFFFF"/>
          <w:lang w:eastAsia="zh-CN"/>
        </w:rPr>
        <w:t>.</w:t>
      </w:r>
      <w:r>
        <w:rPr>
          <w:rFonts w:hint="eastAsia" w:ascii="宋体" w:hAnsi="宋体" w:eastAsia="宋体"/>
          <w:color w:val="auto"/>
          <w:szCs w:val="21"/>
          <w:highlight w:val="none"/>
          <w:shd w:val="clear" w:color="auto" w:fill="FFFFFF"/>
        </w:rPr>
        <w:t>本项目不接受联合体投标</w:t>
      </w:r>
      <w:r>
        <w:rPr>
          <w:rFonts w:hint="eastAsia" w:ascii="宋体" w:hAnsi="宋体" w:eastAsia="宋体"/>
          <w:color w:val="auto"/>
          <w:szCs w:val="21"/>
          <w:highlight w:val="none"/>
          <w:shd w:val="clear" w:color="auto" w:fill="FFFFFF"/>
          <w:lang w:eastAsia="zh-CN"/>
        </w:rPr>
        <w:t>。</w:t>
      </w:r>
    </w:p>
    <w:p w14:paraId="32BA8D73">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lang w:val="en-US" w:eastAsia="zh-CN"/>
          <w14:textFill>
            <w14:solidFill>
              <w14:schemeClr w14:val="tx1"/>
            </w14:solidFill>
          </w14:textFill>
        </w:rPr>
        <w:t>四</w:t>
      </w:r>
      <w:r>
        <w:rPr>
          <w:rFonts w:hint="eastAsia" w:ascii="宋体" w:hAnsi="宋体" w:eastAsia="宋体"/>
          <w:b/>
          <w:color w:val="000000" w:themeColor="text1"/>
          <w:sz w:val="24"/>
          <w:szCs w:val="24"/>
          <w14:textFill>
            <w14:solidFill>
              <w14:schemeClr w14:val="tx1"/>
            </w14:solidFill>
          </w14:textFill>
        </w:rPr>
        <w:t>、合同主要条款：</w:t>
      </w:r>
    </w:p>
    <w:p w14:paraId="21F9F60A">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sz w:val="21"/>
          <w:szCs w:val="21"/>
        </w:rPr>
      </w:pPr>
      <w:r>
        <w:rPr>
          <w:rFonts w:ascii="宋体" w:hAnsi="宋体" w:eastAsia="宋体"/>
          <w:b/>
          <w:color w:val="000000" w:themeColor="text1"/>
          <w:sz w:val="21"/>
          <w:szCs w:val="21"/>
          <w14:textFill>
            <w14:solidFill>
              <w14:schemeClr w14:val="tx1"/>
            </w14:solidFill>
          </w14:textFill>
        </w:rPr>
        <w:t>1、付款方式：</w:t>
      </w:r>
      <w:r>
        <w:rPr>
          <w:rFonts w:hint="eastAsia" w:ascii="宋体" w:hAnsi="宋体" w:eastAsia="宋体"/>
          <w:sz w:val="21"/>
          <w:szCs w:val="21"/>
          <w:lang w:val="en-US" w:eastAsia="zh-CN"/>
        </w:rPr>
        <w:t>合同签订后15个工作日内一次性支付</w:t>
      </w:r>
      <w:r>
        <w:rPr>
          <w:rFonts w:hint="eastAsia" w:ascii="宋体" w:hAnsi="宋体" w:eastAsia="宋体"/>
          <w:sz w:val="21"/>
          <w:szCs w:val="21"/>
        </w:rPr>
        <w:t>。</w:t>
      </w:r>
    </w:p>
    <w:p w14:paraId="0D0036B8">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default" w:ascii="宋体" w:hAnsi="宋体" w:eastAsia="宋体"/>
          <w:sz w:val="21"/>
          <w:szCs w:val="21"/>
          <w:lang w:val="en-US" w:eastAsia="zh-CN"/>
        </w:rPr>
      </w:pPr>
      <w:r>
        <w:rPr>
          <w:rFonts w:hint="eastAsia" w:ascii="宋体" w:hAnsi="宋体" w:eastAsia="宋体"/>
          <w:b/>
          <w:color w:val="000000" w:themeColor="text1"/>
          <w:sz w:val="21"/>
          <w:szCs w:val="21"/>
          <w:lang w:val="en-US" w:eastAsia="zh-CN"/>
          <w14:textFill>
            <w14:solidFill>
              <w14:schemeClr w14:val="tx1"/>
            </w14:solidFill>
          </w14:textFill>
        </w:rPr>
        <w:t>2、保障期限：</w:t>
      </w:r>
      <w:r>
        <w:rPr>
          <w:rFonts w:hint="eastAsia" w:ascii="宋体" w:hAnsi="宋体" w:eastAsia="宋体"/>
          <w:sz w:val="21"/>
          <w:szCs w:val="21"/>
          <w:lang w:val="en-US" w:eastAsia="zh-CN"/>
        </w:rPr>
        <w:t>1年。</w:t>
      </w:r>
    </w:p>
    <w:p w14:paraId="552562F0">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eastAsia="zh-CN"/>
          <w14:textFill>
            <w14:solidFill>
              <w14:schemeClr w14:val="tx1"/>
            </w14:solidFill>
          </w14:textFill>
        </w:rPr>
        <w:t>3</w:t>
      </w:r>
      <w:r>
        <w:rPr>
          <w:rFonts w:ascii="宋体" w:hAnsi="宋体" w:eastAsia="宋体"/>
          <w:b/>
          <w:color w:val="000000" w:themeColor="text1"/>
          <w:sz w:val="21"/>
          <w:szCs w:val="21"/>
          <w14:textFill>
            <w14:solidFill>
              <w14:schemeClr w14:val="tx1"/>
            </w14:solidFill>
          </w14:textFill>
        </w:rPr>
        <w:t>、</w:t>
      </w:r>
      <w:r>
        <w:rPr>
          <w:rFonts w:hint="eastAsia" w:ascii="宋体" w:hAnsi="宋体" w:eastAsia="宋体"/>
          <w:b/>
          <w:color w:val="000000" w:themeColor="text1"/>
          <w:sz w:val="21"/>
          <w:szCs w:val="21"/>
          <w14:textFill>
            <w14:solidFill>
              <w14:schemeClr w14:val="tx1"/>
            </w14:solidFill>
          </w14:textFill>
        </w:rPr>
        <w:t>合同履行期限：</w:t>
      </w:r>
      <w:r>
        <w:rPr>
          <w:rFonts w:hint="eastAsia" w:ascii="宋体" w:hAnsi="宋体" w:eastAsia="宋体"/>
          <w:sz w:val="21"/>
          <w:szCs w:val="21"/>
        </w:rPr>
        <w:t>合同签订后30日内完成所有服务内容。</w:t>
      </w:r>
    </w:p>
    <w:p w14:paraId="3C5466AC">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color w:val="000000" w:themeColor="text1"/>
          <w:sz w:val="21"/>
          <w:szCs w:val="21"/>
          <w14:textFill>
            <w14:solidFill>
              <w14:schemeClr w14:val="tx1"/>
            </w14:solidFill>
          </w14:textFill>
        </w:rPr>
      </w:pPr>
      <w:r>
        <w:rPr>
          <w:rFonts w:hint="eastAsia" w:ascii="宋体" w:hAnsi="宋体" w:eastAsia="宋体"/>
          <w:b/>
          <w:sz w:val="21"/>
          <w:szCs w:val="21"/>
          <w:lang w:val="en-US" w:eastAsia="zh-CN"/>
        </w:rPr>
        <w:t>4</w:t>
      </w:r>
      <w:r>
        <w:rPr>
          <w:rFonts w:ascii="宋体" w:hAnsi="宋体" w:eastAsia="宋体"/>
          <w:b/>
          <w:sz w:val="21"/>
          <w:szCs w:val="21"/>
        </w:rPr>
        <w:t>、合同争议处理：</w:t>
      </w:r>
      <w:r>
        <w:rPr>
          <w:rFonts w:ascii="宋体" w:hAnsi="宋体" w:eastAsia="宋体"/>
          <w:sz w:val="21"/>
          <w:szCs w:val="21"/>
        </w:rPr>
        <w:t>采购合同在履行过程中发生的争议，由双方当事人协商解决，协商解决不成的，</w:t>
      </w:r>
      <w:r>
        <w:rPr>
          <w:rFonts w:hint="eastAsia" w:ascii="宋体" w:hAnsi="宋体" w:eastAsia="宋体"/>
          <w:sz w:val="21"/>
          <w:szCs w:val="21"/>
        </w:rPr>
        <w:t>可向甲方实际所在地法院起诉。</w:t>
      </w:r>
    </w:p>
    <w:p w14:paraId="44537D64">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7ABC21C">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37E3968F">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701F612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0C22F1F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59B2710B">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202F1706">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C51EB4D">
      <w:pPr>
        <w:pStyle w:val="14"/>
        <w:rPr>
          <w:rFonts w:hint="eastAsia"/>
        </w:rPr>
      </w:pPr>
    </w:p>
    <w:p w14:paraId="5557828D">
      <w:pPr>
        <w:pStyle w:val="14"/>
        <w:rPr>
          <w:rFonts w:hint="eastAsia"/>
        </w:rPr>
      </w:pPr>
    </w:p>
    <w:p w14:paraId="026A53F5">
      <w:pPr>
        <w:pStyle w:val="14"/>
        <w:rPr>
          <w:rFonts w:hint="eastAsia"/>
        </w:rPr>
      </w:pPr>
    </w:p>
    <w:p w14:paraId="484196AC">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6B65428">
      <w:pPr>
        <w:keepNext/>
        <w:keepLines/>
        <w:spacing w:line="360" w:lineRule="auto"/>
        <w:ind w:firstLine="420"/>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6" w:name="_Toc32021"/>
      <w:bookmarkStart w:id="37" w:name="_Toc28799375"/>
      <w:r>
        <w:rPr>
          <w:rFonts w:hint="eastAsia"/>
          <w:b/>
          <w:bCs/>
          <w:color w:val="000000" w:themeColor="text1"/>
          <w:sz w:val="40"/>
          <w:szCs w:val="40"/>
          <w14:textFill>
            <w14:solidFill>
              <w14:schemeClr w14:val="tx1"/>
            </w14:solidFill>
          </w14:textFill>
        </w:rPr>
        <w:t>合同条款及格式</w:t>
      </w:r>
      <w:bookmarkEnd w:id="34"/>
      <w:bookmarkEnd w:id="36"/>
      <w:bookmarkEnd w:id="37"/>
    </w:p>
    <w:p w14:paraId="58EFFCE5">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8" w:name="第一部分___协议书"/>
      <w:bookmarkEnd w:id="38"/>
      <w:bookmarkStart w:id="39" w:name="第五章__工程量清单"/>
      <w:bookmarkEnd w:id="39"/>
      <w:bookmarkStart w:id="40" w:name="_bookmark4"/>
      <w:bookmarkEnd w:id="40"/>
      <w:bookmarkStart w:id="41" w:name="_Toc1450"/>
    </w:p>
    <w:p w14:paraId="0BE2E64C">
      <w:pPr>
        <w:pStyle w:val="2"/>
        <w:jc w:val="center"/>
        <w:rPr>
          <w:color w:val="000000" w:themeColor="text1"/>
          <w:sz w:val="40"/>
          <w:szCs w:val="40"/>
          <w14:textFill>
            <w14:solidFill>
              <w14:schemeClr w14:val="tx1"/>
            </w14:solidFill>
          </w14:textFill>
        </w:rPr>
      </w:pPr>
    </w:p>
    <w:p w14:paraId="6FCA60C7">
      <w:pPr>
        <w:pStyle w:val="2"/>
        <w:jc w:val="center"/>
        <w:rPr>
          <w:color w:val="000000" w:themeColor="text1"/>
          <w:sz w:val="40"/>
          <w:szCs w:val="40"/>
          <w14:textFill>
            <w14:solidFill>
              <w14:schemeClr w14:val="tx1"/>
            </w14:solidFill>
          </w14:textFill>
        </w:rPr>
      </w:pPr>
    </w:p>
    <w:p w14:paraId="7EDB9DA6">
      <w:pPr>
        <w:pStyle w:val="2"/>
        <w:jc w:val="center"/>
        <w:rPr>
          <w:color w:val="000000" w:themeColor="text1"/>
          <w:sz w:val="40"/>
          <w:szCs w:val="40"/>
          <w14:textFill>
            <w14:solidFill>
              <w14:schemeClr w14:val="tx1"/>
            </w14:solidFill>
          </w14:textFill>
        </w:rPr>
      </w:pPr>
    </w:p>
    <w:p w14:paraId="3A1110F6">
      <w:pPr>
        <w:rPr>
          <w:color w:val="000000" w:themeColor="text1"/>
          <w:sz w:val="40"/>
          <w:szCs w:val="40"/>
          <w14:textFill>
            <w14:solidFill>
              <w14:schemeClr w14:val="tx1"/>
            </w14:solidFill>
          </w14:textFill>
        </w:rPr>
      </w:pPr>
    </w:p>
    <w:p w14:paraId="1BE992BA">
      <w:pPr>
        <w:pStyle w:val="14"/>
        <w:rPr>
          <w:color w:val="000000" w:themeColor="text1"/>
          <w:sz w:val="40"/>
          <w:szCs w:val="40"/>
          <w14:textFill>
            <w14:solidFill>
              <w14:schemeClr w14:val="tx1"/>
            </w14:solidFill>
          </w14:textFill>
        </w:rPr>
      </w:pPr>
    </w:p>
    <w:p w14:paraId="1D5C87E5">
      <w:pPr>
        <w:pStyle w:val="14"/>
        <w:rPr>
          <w:color w:val="000000" w:themeColor="text1"/>
          <w:sz w:val="40"/>
          <w:szCs w:val="40"/>
          <w14:textFill>
            <w14:solidFill>
              <w14:schemeClr w14:val="tx1"/>
            </w14:solidFill>
          </w14:textFill>
        </w:rPr>
      </w:pPr>
    </w:p>
    <w:p w14:paraId="68D6930D">
      <w:pPr>
        <w:pStyle w:val="14"/>
        <w:rPr>
          <w:color w:val="000000" w:themeColor="text1"/>
          <w:sz w:val="40"/>
          <w:szCs w:val="40"/>
          <w14:textFill>
            <w14:solidFill>
              <w14:schemeClr w14:val="tx1"/>
            </w14:solidFill>
          </w14:textFill>
        </w:rPr>
      </w:pPr>
    </w:p>
    <w:p w14:paraId="3301614D">
      <w:pPr>
        <w:pStyle w:val="14"/>
        <w:rPr>
          <w:color w:val="000000" w:themeColor="text1"/>
          <w:sz w:val="40"/>
          <w:szCs w:val="40"/>
          <w14:textFill>
            <w14:solidFill>
              <w14:schemeClr w14:val="tx1"/>
            </w14:solidFill>
          </w14:textFill>
        </w:rPr>
      </w:pPr>
    </w:p>
    <w:p w14:paraId="066FA996">
      <w:pPr>
        <w:pStyle w:val="14"/>
        <w:rPr>
          <w:color w:val="000000" w:themeColor="text1"/>
          <w:sz w:val="40"/>
          <w:szCs w:val="40"/>
          <w14:textFill>
            <w14:solidFill>
              <w14:schemeClr w14:val="tx1"/>
            </w14:solidFill>
          </w14:textFill>
        </w:rPr>
      </w:pPr>
    </w:p>
    <w:p w14:paraId="694B735C">
      <w:pPr>
        <w:pStyle w:val="14"/>
        <w:rPr>
          <w:color w:val="000000" w:themeColor="text1"/>
          <w:sz w:val="40"/>
          <w:szCs w:val="40"/>
          <w14:textFill>
            <w14:solidFill>
              <w14:schemeClr w14:val="tx1"/>
            </w14:solidFill>
          </w14:textFill>
        </w:rPr>
      </w:pPr>
    </w:p>
    <w:p w14:paraId="42ACD7EF">
      <w:pPr>
        <w:rPr>
          <w:color w:val="000000" w:themeColor="text1"/>
          <w:sz w:val="40"/>
          <w:szCs w:val="40"/>
          <w14:textFill>
            <w14:solidFill>
              <w14:schemeClr w14:val="tx1"/>
            </w14:solidFill>
          </w14:textFill>
        </w:rPr>
      </w:pPr>
    </w:p>
    <w:p w14:paraId="27DD50E1">
      <w:pPr>
        <w:pStyle w:val="2"/>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1"/>
    </w:p>
    <w:p w14:paraId="563CA5ED">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1D9A9827">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7A5B455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06A6B4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14D7EEF">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118A1A8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09A4CC6">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54A02A57">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757CD513">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0254C05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8F38EF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FAAD2D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C694DF6">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5893FF9">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2E5C013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3AA4729C">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3A406E4F">
      <w:pPr>
        <w:pStyle w:val="15"/>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4F27EAA6">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38FE7491">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622D3CE4">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730E3067">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7366CBED">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567D651E">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199C287E">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437038F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545EC38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4863F148">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6B20B62E">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33F8C3A5">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33556A18">
      <w:pPr>
        <w:pStyle w:val="14"/>
        <w:ind w:right="-21" w:firstLine="540"/>
      </w:pPr>
    </w:p>
    <w:p w14:paraId="3790CA06">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213212BA">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7C2F7D34">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05E24DC0">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7CF3AC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CDEB4A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2957EBC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3AF7A928">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21DD91A9">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0FEFC47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176C0F94">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43D67EF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6348B09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2BC28CC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6FD0753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5E554D2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3E39BB72">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753F33CE">
      <w:pPr>
        <w:pStyle w:val="15"/>
        <w:ind w:firstLine="640"/>
        <w:rPr>
          <w:rFonts w:ascii="宋体" w:hAnsi="宋体" w:eastAsia="宋体"/>
          <w:color w:val="000000" w:themeColor="text1"/>
          <w:szCs w:val="21"/>
          <w14:textFill>
            <w14:solidFill>
              <w14:schemeClr w14:val="tx1"/>
            </w14:solidFill>
          </w14:textFill>
        </w:rPr>
      </w:pPr>
    </w:p>
    <w:p w14:paraId="09AAE010">
      <w:pPr>
        <w:rPr>
          <w:rFonts w:ascii="宋体" w:hAnsi="宋体" w:eastAsia="宋体"/>
          <w:color w:val="000000" w:themeColor="text1"/>
          <w:szCs w:val="21"/>
          <w14:textFill>
            <w14:solidFill>
              <w14:schemeClr w14:val="tx1"/>
            </w14:solidFill>
          </w14:textFill>
        </w:rPr>
      </w:pPr>
    </w:p>
    <w:p w14:paraId="615FEAF8">
      <w:pPr>
        <w:pStyle w:val="14"/>
        <w:ind w:right="-21" w:firstLine="540"/>
        <w:rPr>
          <w:rFonts w:ascii="宋体" w:hAnsi="宋体" w:eastAsia="宋体"/>
          <w:color w:val="000000" w:themeColor="text1"/>
          <w:szCs w:val="21"/>
          <w14:textFill>
            <w14:solidFill>
              <w14:schemeClr w14:val="tx1"/>
            </w14:solidFill>
          </w14:textFill>
        </w:rPr>
      </w:pPr>
    </w:p>
    <w:p w14:paraId="1FCFBC1A">
      <w:pPr>
        <w:pStyle w:val="14"/>
        <w:ind w:right="-21" w:firstLine="540"/>
        <w:rPr>
          <w:rFonts w:ascii="宋体" w:hAnsi="宋体" w:eastAsia="宋体"/>
          <w:color w:val="000000" w:themeColor="text1"/>
          <w:szCs w:val="21"/>
          <w14:textFill>
            <w14:solidFill>
              <w14:schemeClr w14:val="tx1"/>
            </w14:solidFill>
          </w14:textFill>
        </w:rPr>
      </w:pPr>
    </w:p>
    <w:p w14:paraId="7745F8CA">
      <w:pPr>
        <w:pStyle w:val="14"/>
        <w:ind w:right="-21" w:firstLine="540"/>
        <w:rPr>
          <w:rFonts w:ascii="宋体" w:hAnsi="宋体" w:eastAsia="宋体"/>
          <w:color w:val="000000" w:themeColor="text1"/>
          <w:szCs w:val="21"/>
          <w14:textFill>
            <w14:solidFill>
              <w14:schemeClr w14:val="tx1"/>
            </w14:solidFill>
          </w14:textFill>
        </w:rPr>
      </w:pPr>
    </w:p>
    <w:p w14:paraId="230160A1">
      <w:pPr>
        <w:pStyle w:val="14"/>
        <w:ind w:right="-21" w:firstLine="540"/>
        <w:rPr>
          <w:rFonts w:ascii="宋体" w:hAnsi="宋体" w:eastAsia="宋体"/>
          <w:color w:val="000000" w:themeColor="text1"/>
          <w:szCs w:val="21"/>
          <w14:textFill>
            <w14:solidFill>
              <w14:schemeClr w14:val="tx1"/>
            </w14:solidFill>
          </w14:textFill>
        </w:rPr>
      </w:pPr>
    </w:p>
    <w:p w14:paraId="17EAB72B"/>
    <w:p w14:paraId="2022CE8B">
      <w:pPr>
        <w:pStyle w:val="15"/>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w:t>
      </w:r>
      <w:r>
        <w:rPr>
          <w:rFonts w:hint="eastAsia" w:ascii="宋体" w:hAnsi="宋体" w:eastAsia="宋体"/>
          <w:b/>
          <w:bCs/>
          <w:color w:val="000000" w:themeColor="text1"/>
          <w:sz w:val="28"/>
          <w:szCs w:val="28"/>
          <w:lang w:eastAsia="zh-CN"/>
          <w14:textFill>
            <w14:solidFill>
              <w14:schemeClr w14:val="tx1"/>
            </w14:solidFill>
          </w14:textFill>
        </w:rPr>
        <w:t>（</w:t>
      </w:r>
      <w:r>
        <w:rPr>
          <w:rFonts w:hint="eastAsia" w:ascii="宋体" w:hAnsi="宋体" w:eastAsia="宋体"/>
          <w:b/>
          <w:bCs/>
          <w:color w:val="000000" w:themeColor="text1"/>
          <w:sz w:val="28"/>
          <w:szCs w:val="28"/>
          <w:lang w:val="en-US" w:eastAsia="zh-CN"/>
          <w14:textFill>
            <w14:solidFill>
              <w14:schemeClr w14:val="tx1"/>
            </w14:solidFill>
          </w14:textFill>
        </w:rPr>
        <w:t>单位负责人</w:t>
      </w:r>
      <w:r>
        <w:rPr>
          <w:rFonts w:hint="eastAsia" w:ascii="宋体" w:hAnsi="宋体" w:eastAsia="宋体"/>
          <w:b/>
          <w:bCs/>
          <w:color w:val="000000" w:themeColor="text1"/>
          <w:sz w:val="28"/>
          <w:szCs w:val="28"/>
          <w:lang w:eastAsia="zh-CN"/>
          <w14:textFill>
            <w14:solidFill>
              <w14:schemeClr w14:val="tx1"/>
            </w14:solidFill>
          </w14:textFill>
        </w:rPr>
        <w:t>）</w:t>
      </w:r>
      <w:r>
        <w:rPr>
          <w:rFonts w:ascii="宋体" w:hAnsi="宋体" w:eastAsia="宋体"/>
          <w:b/>
          <w:bCs/>
          <w:color w:val="000000" w:themeColor="text1"/>
          <w:sz w:val="28"/>
          <w:szCs w:val="28"/>
          <w14:textFill>
            <w14:solidFill>
              <w14:schemeClr w14:val="tx1"/>
            </w14:solidFill>
          </w14:textFill>
        </w:rPr>
        <w:t>身份证明</w:t>
      </w:r>
    </w:p>
    <w:p w14:paraId="634D481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3BFD5AFF">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1A41BB61">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6204B3B">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55A84154">
      <w:pPr>
        <w:spacing w:line="360" w:lineRule="auto"/>
        <w:jc w:val="left"/>
        <w:rPr>
          <w:rFonts w:ascii="宋体" w:hAnsi="宋体" w:eastAsia="宋体"/>
          <w:color w:val="000000" w:themeColor="text1"/>
          <w:sz w:val="24"/>
          <w:szCs w:val="24"/>
          <w14:textFill>
            <w14:solidFill>
              <w14:schemeClr w14:val="tx1"/>
            </w14:solidFill>
          </w14:textFill>
        </w:rPr>
      </w:pPr>
    </w:p>
    <w:p w14:paraId="7087816A">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68B23825">
      <w:pPr>
        <w:spacing w:line="360" w:lineRule="auto"/>
        <w:jc w:val="left"/>
        <w:rPr>
          <w:rFonts w:ascii="宋体" w:hAnsi="宋体" w:eastAsia="宋体"/>
          <w:color w:val="000000" w:themeColor="text1"/>
          <w:sz w:val="24"/>
          <w:szCs w:val="24"/>
          <w14:textFill>
            <w14:solidFill>
              <w14:schemeClr w14:val="tx1"/>
            </w14:solidFill>
          </w14:textFill>
        </w:rPr>
      </w:pPr>
    </w:p>
    <w:p w14:paraId="28F5C74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0A24E6C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4A94C5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44928DE3">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263E72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7FD9F33E">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1741A5C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6A156F1">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45B8FE8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514063">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1133616C">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05B3334B">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4C023D4C">
      <w:pPr>
        <w:snapToGrid w:val="0"/>
        <w:jc w:val="left"/>
        <w:rPr>
          <w:rFonts w:ascii="微软雅黑" w:hAnsi="微软雅黑" w:eastAsia="微软雅黑"/>
          <w:color w:val="000000" w:themeColor="text1"/>
          <w:sz w:val="24"/>
          <w:szCs w:val="24"/>
          <w14:textFill>
            <w14:solidFill>
              <w14:schemeClr w14:val="tx1"/>
            </w14:solidFill>
          </w14:textFill>
        </w:rPr>
      </w:pPr>
    </w:p>
    <w:p w14:paraId="624B9264">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w:t>
      </w:r>
      <w:r>
        <w:rPr>
          <w:rFonts w:hint="eastAsia" w:ascii="'Times New Roman'" w:hAnsi="'Times New Roman'" w:eastAsia="宋体"/>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单位负责人</w:t>
      </w:r>
      <w:r>
        <w:rPr>
          <w:rFonts w:hint="eastAsia" w:ascii="'Times New Roman'" w:hAnsi="'Times New Roman'" w:eastAsia="宋体"/>
          <w:color w:val="000000" w:themeColor="text1"/>
          <w:sz w:val="24"/>
          <w:szCs w:val="24"/>
          <w:lang w:eastAsia="zh-CN"/>
          <w14:textFill>
            <w14:solidFill>
              <w14:schemeClr w14:val="tx1"/>
            </w14:solidFill>
          </w14:textFill>
        </w:rPr>
        <w:t>）</w:t>
      </w:r>
      <w:r>
        <w:rPr>
          <w:rFonts w:ascii="'Times New Roman'" w:hAnsi="'Times New Roman'" w:eastAsia="'Times New Roman'"/>
          <w:color w:val="000000" w:themeColor="text1"/>
          <w:sz w:val="24"/>
          <w:szCs w:val="24"/>
          <w14:textFill>
            <w14:solidFill>
              <w14:schemeClr w14:val="tx1"/>
            </w14:solidFill>
          </w14:textFill>
        </w:rPr>
        <w:t>，现委托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1B4C15F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6B4DFCA2">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044921F">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556B5771">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6B83F84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3AB19752">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59658B91">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0A82979A">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65BAB86E">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300E48BB">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222BFF09">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532D1377">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1432D2B8">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0279C9E6">
      <w:pPr>
        <w:snapToGrid w:val="0"/>
        <w:jc w:val="left"/>
        <w:rPr>
          <w:rFonts w:ascii="微软雅黑" w:hAnsi="微软雅黑" w:eastAsia="微软雅黑"/>
          <w:color w:val="000000" w:themeColor="text1"/>
          <w:sz w:val="24"/>
          <w:szCs w:val="24"/>
          <w14:textFill>
            <w14:solidFill>
              <w14:schemeClr w14:val="tx1"/>
            </w14:solidFill>
          </w14:textFill>
        </w:rPr>
      </w:pPr>
    </w:p>
    <w:p w14:paraId="482111C9">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2661A399">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4C5FE4DA">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4ED4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66413083">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BCB4EC0">
            <w:pPr>
              <w:rPr>
                <w:rFonts w:ascii="宋体" w:hAnsi="宋体" w:eastAsia="宋体" w:cs="宋体"/>
                <w:b/>
                <w:sz w:val="24"/>
                <w:szCs w:val="24"/>
              </w:rPr>
            </w:pPr>
          </w:p>
        </w:tc>
      </w:tr>
      <w:tr w14:paraId="672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20D06559">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2D0AA786">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lang w:val="en-US" w:eastAsia="zh-CN"/>
              </w:rPr>
              <w:t>/</w:t>
            </w:r>
            <w:r>
              <w:rPr>
                <w:rFonts w:hint="eastAsia" w:ascii="宋体" w:hAnsi="宋体" w:cs="@仿宋_GB2312"/>
                <w:sz w:val="24"/>
                <w:szCs w:val="28"/>
              </w:rPr>
              <w:t>标段</w:t>
            </w:r>
          </w:p>
        </w:tc>
      </w:tr>
      <w:tr w14:paraId="1FBD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3C1B3532">
            <w:pPr>
              <w:spacing w:line="360" w:lineRule="auto"/>
              <w:jc w:val="center"/>
              <w:rPr>
                <w:rFonts w:cs="@仿宋_GB2312"/>
                <w:b/>
                <w:sz w:val="24"/>
              </w:rPr>
            </w:pPr>
            <w:r>
              <w:rPr>
                <w:rFonts w:hint="eastAsia" w:cs="@仿宋_GB2312"/>
                <w:b/>
                <w:sz w:val="24"/>
              </w:rPr>
              <w:t>报价</w:t>
            </w:r>
          </w:p>
          <w:p w14:paraId="7717C399">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6FF06C0E">
            <w:pPr>
              <w:snapToGrid w:val="0"/>
              <w:rPr>
                <w:rFonts w:ascii="宋体" w:hAnsi="宋体" w:eastAsia="宋体" w:cs="宋体"/>
                <w:sz w:val="24"/>
                <w:szCs w:val="24"/>
              </w:rPr>
            </w:pPr>
          </w:p>
          <w:p w14:paraId="582537C3">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15E7CA51">
            <w:pPr>
              <w:snapToGrid w:val="0"/>
              <w:rPr>
                <w:rFonts w:ascii="宋体" w:hAnsi="宋体" w:eastAsia="宋体" w:cs="宋体"/>
                <w:b/>
                <w:sz w:val="24"/>
                <w:szCs w:val="24"/>
              </w:rPr>
            </w:pPr>
          </w:p>
        </w:tc>
      </w:tr>
      <w:tr w14:paraId="07E4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99D2914">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2D94C41F">
            <w:pPr>
              <w:snapToGrid w:val="0"/>
              <w:rPr>
                <w:rFonts w:ascii="宋体" w:hAnsi="宋体" w:eastAsia="宋体" w:cs="宋体"/>
                <w:b/>
                <w:sz w:val="24"/>
                <w:szCs w:val="24"/>
              </w:rPr>
            </w:pPr>
          </w:p>
        </w:tc>
      </w:tr>
      <w:tr w14:paraId="0A25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9B30CB5">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76C93384">
            <w:pPr>
              <w:snapToGrid w:val="0"/>
              <w:rPr>
                <w:rFonts w:ascii="宋体" w:hAnsi="宋体" w:eastAsia="宋体" w:cs="宋体"/>
                <w:b/>
                <w:sz w:val="24"/>
                <w:szCs w:val="24"/>
              </w:rPr>
            </w:pPr>
          </w:p>
        </w:tc>
      </w:tr>
      <w:tr w14:paraId="3BCE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4CCDE4C">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1DD1E141">
            <w:pPr>
              <w:snapToGrid w:val="0"/>
              <w:rPr>
                <w:rFonts w:ascii="宋体" w:hAnsi="宋体" w:eastAsia="宋体" w:cs="宋体"/>
                <w:b/>
                <w:sz w:val="24"/>
                <w:szCs w:val="24"/>
              </w:rPr>
            </w:pPr>
          </w:p>
        </w:tc>
      </w:tr>
      <w:tr w14:paraId="6C2F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59E0402">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4E5A647B">
            <w:pPr>
              <w:snapToGrid w:val="0"/>
              <w:rPr>
                <w:rFonts w:ascii="宋体" w:hAnsi="宋体" w:eastAsia="宋体" w:cs="宋体"/>
                <w:bCs/>
                <w:sz w:val="24"/>
                <w:szCs w:val="24"/>
              </w:rPr>
            </w:pPr>
            <w:r>
              <w:rPr>
                <w:rFonts w:hint="eastAsia" w:ascii="宋体" w:hAnsi="宋体" w:eastAsia="宋体" w:cs="宋体"/>
                <w:sz w:val="24"/>
                <w:szCs w:val="24"/>
              </w:rPr>
              <w:t>是</w:t>
            </w:r>
            <w:r>
              <w:rPr>
                <w:rFonts w:hint="eastAsia" w:ascii="宋体" w:hAnsi="宋体" w:eastAsia="宋体" w:cs="宋体"/>
                <w:sz w:val="24"/>
                <w:szCs w:val="24"/>
                <w:lang w:eastAsia="zh-CN"/>
              </w:rPr>
              <w:t>□</w:t>
            </w:r>
            <w:r>
              <w:rPr>
                <w:rFonts w:hint="eastAsia" w:ascii="宋体" w:hAnsi="宋体" w:eastAsia="宋体" w:cs="宋体"/>
                <w:sz w:val="24"/>
                <w:szCs w:val="24"/>
              </w:rPr>
              <w:t xml:space="preserve">    否□   （划√）</w:t>
            </w:r>
          </w:p>
        </w:tc>
      </w:tr>
      <w:tr w14:paraId="1426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2CD574A4">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17E2DD6A">
            <w:pPr>
              <w:rPr>
                <w:rFonts w:ascii="宋体" w:hAnsi="宋体" w:eastAsia="宋体" w:cs="宋体"/>
                <w:b/>
                <w:sz w:val="24"/>
                <w:szCs w:val="24"/>
              </w:rPr>
            </w:pPr>
          </w:p>
        </w:tc>
      </w:tr>
    </w:tbl>
    <w:p w14:paraId="5CA81D8F">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19232C4F">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6678BD0C">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73C6BCCB">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0E119E6E">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5C064112">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0D6E2298">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545601F5">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0DC2BF1E">
      <w:pPr>
        <w:spacing w:line="354" w:lineRule="auto"/>
        <w:rPr>
          <w:rFonts w:ascii="Arial"/>
        </w:rPr>
      </w:pPr>
    </w:p>
    <w:p w14:paraId="6294BB4F">
      <w:pPr>
        <w:spacing w:line="354" w:lineRule="auto"/>
        <w:rPr>
          <w:rFonts w:ascii="Arial"/>
        </w:rPr>
      </w:pPr>
    </w:p>
    <w:p w14:paraId="6898A699">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2C763075">
      <w:pPr>
        <w:spacing w:line="384" w:lineRule="auto"/>
        <w:rPr>
          <w:rFonts w:ascii="Arial"/>
        </w:rPr>
      </w:pPr>
    </w:p>
    <w:p w14:paraId="4771E469">
      <w:pPr>
        <w:pStyle w:val="14"/>
        <w:ind w:right="-21" w:firstLine="540"/>
      </w:pPr>
    </w:p>
    <w:p w14:paraId="239F9093">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743FD812">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1BD755B8">
      <w:pPr>
        <w:spacing w:line="384" w:lineRule="auto"/>
      </w:pPr>
    </w:p>
    <w:p w14:paraId="0566EB0A">
      <w:pPr>
        <w:spacing w:line="384" w:lineRule="auto"/>
      </w:pPr>
    </w:p>
    <w:p w14:paraId="0DAFF462">
      <w:pPr>
        <w:spacing w:line="384" w:lineRule="auto"/>
      </w:pPr>
    </w:p>
    <w:tbl>
      <w:tblPr>
        <w:tblStyle w:val="25"/>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20C3E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1A1E0C7E">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42619F2D">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1BE60000">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7787AD04">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636D6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0FBC9AAD">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605EAF13">
            <w:pPr>
              <w:spacing w:line="384" w:lineRule="auto"/>
              <w:rPr>
                <w:rFonts w:ascii="Arial"/>
              </w:rPr>
            </w:pPr>
          </w:p>
        </w:tc>
        <w:tc>
          <w:tcPr>
            <w:tcW w:w="2318" w:type="dxa"/>
          </w:tcPr>
          <w:p w14:paraId="0F115D7A">
            <w:pPr>
              <w:spacing w:line="384" w:lineRule="auto"/>
              <w:rPr>
                <w:rFonts w:ascii="Arial"/>
              </w:rPr>
            </w:pPr>
          </w:p>
        </w:tc>
        <w:tc>
          <w:tcPr>
            <w:tcW w:w="1074" w:type="dxa"/>
          </w:tcPr>
          <w:p w14:paraId="6B933291">
            <w:pPr>
              <w:spacing w:line="384" w:lineRule="auto"/>
              <w:rPr>
                <w:rFonts w:ascii="Arial"/>
              </w:rPr>
            </w:pPr>
          </w:p>
        </w:tc>
      </w:tr>
      <w:tr w14:paraId="6BA1C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7B58BBDC">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3BB26560">
            <w:pPr>
              <w:spacing w:line="384" w:lineRule="auto"/>
              <w:rPr>
                <w:rFonts w:ascii="Arial"/>
              </w:rPr>
            </w:pPr>
          </w:p>
        </w:tc>
        <w:tc>
          <w:tcPr>
            <w:tcW w:w="2318" w:type="dxa"/>
          </w:tcPr>
          <w:p w14:paraId="543FD39B">
            <w:pPr>
              <w:spacing w:line="384" w:lineRule="auto"/>
              <w:rPr>
                <w:rFonts w:ascii="Arial"/>
              </w:rPr>
            </w:pPr>
          </w:p>
        </w:tc>
        <w:tc>
          <w:tcPr>
            <w:tcW w:w="1074" w:type="dxa"/>
          </w:tcPr>
          <w:p w14:paraId="7B5513D4">
            <w:pPr>
              <w:spacing w:line="384" w:lineRule="auto"/>
              <w:rPr>
                <w:rFonts w:ascii="Arial"/>
              </w:rPr>
            </w:pPr>
          </w:p>
        </w:tc>
      </w:tr>
      <w:tr w14:paraId="34BD4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1EA33900">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1E638A54">
            <w:pPr>
              <w:spacing w:line="384" w:lineRule="auto"/>
              <w:rPr>
                <w:rFonts w:ascii="Arial"/>
              </w:rPr>
            </w:pPr>
          </w:p>
        </w:tc>
        <w:tc>
          <w:tcPr>
            <w:tcW w:w="2318" w:type="dxa"/>
          </w:tcPr>
          <w:p w14:paraId="30D720F5">
            <w:pPr>
              <w:spacing w:line="384" w:lineRule="auto"/>
              <w:rPr>
                <w:rFonts w:ascii="Arial"/>
              </w:rPr>
            </w:pPr>
          </w:p>
        </w:tc>
        <w:tc>
          <w:tcPr>
            <w:tcW w:w="1074" w:type="dxa"/>
          </w:tcPr>
          <w:p w14:paraId="132A85F2">
            <w:pPr>
              <w:spacing w:line="384" w:lineRule="auto"/>
              <w:rPr>
                <w:rFonts w:ascii="Arial"/>
              </w:rPr>
            </w:pPr>
          </w:p>
        </w:tc>
      </w:tr>
      <w:tr w14:paraId="555D8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4B192498">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1CD4CCD3">
            <w:pPr>
              <w:spacing w:line="384" w:lineRule="auto"/>
              <w:rPr>
                <w:rFonts w:ascii="Arial"/>
              </w:rPr>
            </w:pPr>
          </w:p>
        </w:tc>
        <w:tc>
          <w:tcPr>
            <w:tcW w:w="2318" w:type="dxa"/>
          </w:tcPr>
          <w:p w14:paraId="16DD0BC5">
            <w:pPr>
              <w:spacing w:line="384" w:lineRule="auto"/>
              <w:rPr>
                <w:rFonts w:ascii="Arial"/>
              </w:rPr>
            </w:pPr>
          </w:p>
        </w:tc>
        <w:tc>
          <w:tcPr>
            <w:tcW w:w="1074" w:type="dxa"/>
          </w:tcPr>
          <w:p w14:paraId="28246394">
            <w:pPr>
              <w:spacing w:line="384" w:lineRule="auto"/>
              <w:rPr>
                <w:rFonts w:ascii="Arial"/>
              </w:rPr>
            </w:pPr>
          </w:p>
        </w:tc>
      </w:tr>
      <w:tr w14:paraId="38AC4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76693B34">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1BC387AE">
            <w:pPr>
              <w:spacing w:line="384" w:lineRule="auto"/>
              <w:rPr>
                <w:rFonts w:ascii="Arial"/>
              </w:rPr>
            </w:pPr>
          </w:p>
        </w:tc>
        <w:tc>
          <w:tcPr>
            <w:tcW w:w="2318" w:type="dxa"/>
          </w:tcPr>
          <w:p w14:paraId="2B8BF495">
            <w:pPr>
              <w:spacing w:line="384" w:lineRule="auto"/>
              <w:rPr>
                <w:rFonts w:ascii="Arial"/>
              </w:rPr>
            </w:pPr>
          </w:p>
        </w:tc>
        <w:tc>
          <w:tcPr>
            <w:tcW w:w="1074" w:type="dxa"/>
          </w:tcPr>
          <w:p w14:paraId="623B596F">
            <w:pPr>
              <w:spacing w:line="384" w:lineRule="auto"/>
              <w:rPr>
                <w:rFonts w:ascii="Arial"/>
              </w:rPr>
            </w:pPr>
          </w:p>
        </w:tc>
      </w:tr>
      <w:tr w14:paraId="0864F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093E5A35">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5E5A0373">
            <w:pPr>
              <w:spacing w:line="384" w:lineRule="auto"/>
              <w:rPr>
                <w:rFonts w:ascii="Arial"/>
              </w:rPr>
            </w:pPr>
          </w:p>
        </w:tc>
        <w:tc>
          <w:tcPr>
            <w:tcW w:w="2318" w:type="dxa"/>
          </w:tcPr>
          <w:p w14:paraId="31DE8ACC">
            <w:pPr>
              <w:spacing w:line="384" w:lineRule="auto"/>
              <w:rPr>
                <w:rFonts w:ascii="Arial"/>
              </w:rPr>
            </w:pPr>
          </w:p>
        </w:tc>
        <w:tc>
          <w:tcPr>
            <w:tcW w:w="1074" w:type="dxa"/>
          </w:tcPr>
          <w:p w14:paraId="4E62B1CA">
            <w:pPr>
              <w:spacing w:line="384" w:lineRule="auto"/>
              <w:rPr>
                <w:rFonts w:ascii="Arial"/>
              </w:rPr>
            </w:pPr>
          </w:p>
        </w:tc>
      </w:tr>
    </w:tbl>
    <w:p w14:paraId="2F1D5ED6">
      <w:pPr>
        <w:spacing w:before="115" w:line="384" w:lineRule="auto"/>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27A87DD3">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67F019BD">
      <w:pPr>
        <w:jc w:val="center"/>
        <w:rPr>
          <w:rFonts w:asciiTheme="minorEastAsia" w:hAnsiTheme="minorEastAsia" w:cstheme="minorEastAsia"/>
          <w:b/>
          <w:bCs/>
          <w:color w:val="000000" w:themeColor="text1"/>
          <w:sz w:val="32"/>
          <w:szCs w:val="32"/>
          <w14:textFill>
            <w14:solidFill>
              <w14:schemeClr w14:val="tx1"/>
            </w14:solidFill>
          </w14:textFill>
        </w:rPr>
      </w:pPr>
    </w:p>
    <w:p w14:paraId="2DFEA0F1">
      <w:pPr>
        <w:jc w:val="center"/>
        <w:rPr>
          <w:rFonts w:asciiTheme="minorEastAsia" w:hAnsiTheme="minorEastAsia" w:cstheme="minorEastAsia"/>
          <w:b/>
          <w:bCs/>
          <w:color w:val="000000" w:themeColor="text1"/>
          <w:sz w:val="32"/>
          <w:szCs w:val="32"/>
          <w14:textFill>
            <w14:solidFill>
              <w14:schemeClr w14:val="tx1"/>
            </w14:solidFill>
          </w14:textFill>
        </w:rPr>
      </w:pPr>
    </w:p>
    <w:p w14:paraId="718EF21B">
      <w:pPr>
        <w:jc w:val="center"/>
        <w:rPr>
          <w:rFonts w:asciiTheme="minorEastAsia" w:hAnsiTheme="minorEastAsia" w:cstheme="minorEastAsia"/>
          <w:b/>
          <w:bCs/>
          <w:color w:val="000000" w:themeColor="text1"/>
          <w:sz w:val="32"/>
          <w:szCs w:val="32"/>
          <w14:textFill>
            <w14:solidFill>
              <w14:schemeClr w14:val="tx1"/>
            </w14:solidFill>
          </w14:textFill>
        </w:rPr>
      </w:pPr>
    </w:p>
    <w:p w14:paraId="5A8B3057">
      <w:pPr>
        <w:pStyle w:val="14"/>
        <w:ind w:right="-21" w:firstLine="0" w:firstLineChars="0"/>
      </w:pPr>
    </w:p>
    <w:p w14:paraId="597022DA">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五、供应商综合情况简介（供应商可自行制作格式）</w:t>
      </w:r>
    </w:p>
    <w:p w14:paraId="06404862">
      <w:pPr>
        <w:jc w:val="center"/>
        <w:rPr>
          <w:rFonts w:asciiTheme="minorEastAsia" w:hAnsiTheme="minorEastAsia" w:cstheme="minorEastAsia"/>
          <w:color w:val="000000" w:themeColor="text1"/>
          <w:sz w:val="28"/>
          <w:szCs w:val="28"/>
          <w14:textFill>
            <w14:solidFill>
              <w14:schemeClr w14:val="tx1"/>
            </w14:solidFill>
          </w14:textFill>
        </w:rPr>
      </w:pPr>
    </w:p>
    <w:p w14:paraId="5A1D2E5E">
      <w:pPr>
        <w:pStyle w:val="14"/>
        <w:ind w:right="-21" w:firstLine="630"/>
        <w:rPr>
          <w:rFonts w:asciiTheme="minorEastAsia" w:hAnsiTheme="minorEastAsia" w:cstheme="minorEastAsia"/>
          <w:color w:val="000000" w:themeColor="text1"/>
          <w:sz w:val="28"/>
          <w:szCs w:val="28"/>
          <w14:textFill>
            <w14:solidFill>
              <w14:schemeClr w14:val="tx1"/>
            </w14:solidFill>
          </w14:textFill>
        </w:rPr>
      </w:pPr>
    </w:p>
    <w:p w14:paraId="3AF3F71D">
      <w:pPr>
        <w:pStyle w:val="14"/>
        <w:ind w:right="-21" w:firstLine="630"/>
        <w:rPr>
          <w:rFonts w:asciiTheme="minorEastAsia" w:hAnsiTheme="minorEastAsia" w:cstheme="minorEastAsia"/>
          <w:color w:val="000000" w:themeColor="text1"/>
          <w:sz w:val="28"/>
          <w:szCs w:val="28"/>
          <w14:textFill>
            <w14:solidFill>
              <w14:schemeClr w14:val="tx1"/>
            </w14:solidFill>
          </w14:textFill>
        </w:rPr>
      </w:pPr>
    </w:p>
    <w:p w14:paraId="49154865">
      <w:pPr>
        <w:pStyle w:val="14"/>
        <w:ind w:right="-21" w:firstLine="630"/>
        <w:rPr>
          <w:rFonts w:asciiTheme="minorEastAsia" w:hAnsiTheme="minorEastAsia" w:cstheme="minorEastAsia"/>
          <w:color w:val="000000" w:themeColor="text1"/>
          <w:sz w:val="28"/>
          <w:szCs w:val="28"/>
          <w14:textFill>
            <w14:solidFill>
              <w14:schemeClr w14:val="tx1"/>
            </w14:solidFill>
          </w14:textFill>
        </w:rPr>
      </w:pPr>
    </w:p>
    <w:p w14:paraId="2C54C0D9">
      <w:pPr>
        <w:jc w:val="center"/>
        <w:rPr>
          <w:rFonts w:asciiTheme="minorEastAsia" w:hAnsiTheme="minorEastAsia" w:cstheme="minorEastAsia"/>
          <w:b/>
          <w:bCs/>
          <w:color w:val="000000" w:themeColor="text1"/>
          <w:sz w:val="32"/>
          <w:szCs w:val="32"/>
          <w14:textFill>
            <w14:solidFill>
              <w14:schemeClr w14:val="tx1"/>
            </w14:solidFill>
          </w14:textFill>
        </w:rPr>
      </w:pPr>
    </w:p>
    <w:p w14:paraId="24B1358B">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16A26077">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4524E783">
      <w:pPr>
        <w:pStyle w:val="15"/>
        <w:ind w:firstLine="640"/>
        <w:rPr>
          <w:color w:val="000000" w:themeColor="text1"/>
          <w14:textFill>
            <w14:solidFill>
              <w14:schemeClr w14:val="tx1"/>
            </w14:solidFill>
          </w14:textFill>
        </w:rPr>
      </w:pPr>
    </w:p>
    <w:p w14:paraId="2585FAED">
      <w:pPr>
        <w:jc w:val="center"/>
        <w:rPr>
          <w:rFonts w:asciiTheme="minorEastAsia" w:hAnsiTheme="minorEastAsia" w:cstheme="minorEastAsia"/>
          <w:b/>
          <w:bCs/>
          <w:color w:val="000000" w:themeColor="text1"/>
          <w:sz w:val="32"/>
          <w:szCs w:val="32"/>
          <w14:textFill>
            <w14:solidFill>
              <w14:schemeClr w14:val="tx1"/>
            </w14:solidFill>
          </w14:textFill>
        </w:rPr>
      </w:pPr>
    </w:p>
    <w:p w14:paraId="02F9A3F7">
      <w:pPr>
        <w:rPr>
          <w:rFonts w:asciiTheme="minorEastAsia" w:hAnsiTheme="minorEastAsia" w:cstheme="minorEastAsia"/>
          <w:b/>
          <w:bCs/>
          <w:color w:val="000000" w:themeColor="text1"/>
          <w:sz w:val="32"/>
          <w:szCs w:val="32"/>
          <w14:textFill>
            <w14:solidFill>
              <w14:schemeClr w14:val="tx1"/>
            </w14:solidFill>
          </w14:textFill>
        </w:rPr>
      </w:pPr>
    </w:p>
    <w:p w14:paraId="4D6FE792">
      <w:pPr>
        <w:jc w:val="center"/>
        <w:rPr>
          <w:rFonts w:asciiTheme="minorEastAsia" w:hAnsiTheme="minorEastAsia" w:cstheme="minorEastAsia"/>
          <w:b/>
          <w:bCs/>
          <w:color w:val="000000" w:themeColor="text1"/>
          <w:sz w:val="32"/>
          <w:szCs w:val="32"/>
          <w14:textFill>
            <w14:solidFill>
              <w14:schemeClr w14:val="tx1"/>
            </w14:solidFill>
          </w14:textFill>
        </w:rPr>
      </w:pPr>
    </w:p>
    <w:p w14:paraId="47A47D97">
      <w:pPr>
        <w:jc w:val="center"/>
        <w:rPr>
          <w:rFonts w:asciiTheme="minorEastAsia" w:hAnsiTheme="minorEastAsia" w:cstheme="minorEastAsia"/>
          <w:b/>
          <w:bCs/>
          <w:color w:val="000000" w:themeColor="text1"/>
          <w:sz w:val="32"/>
          <w:szCs w:val="32"/>
          <w14:textFill>
            <w14:solidFill>
              <w14:schemeClr w14:val="tx1"/>
            </w14:solidFill>
          </w14:textFill>
        </w:rPr>
      </w:pPr>
    </w:p>
    <w:p w14:paraId="4C8022F7">
      <w:pPr>
        <w:pStyle w:val="14"/>
        <w:ind w:right="-21" w:firstLine="540"/>
      </w:pPr>
    </w:p>
    <w:p w14:paraId="2CC10743">
      <w:pPr>
        <w:pStyle w:val="14"/>
        <w:ind w:right="-21" w:firstLine="540"/>
      </w:pPr>
    </w:p>
    <w:p w14:paraId="03CD549A">
      <w:pPr>
        <w:jc w:val="center"/>
        <w:rPr>
          <w:rFonts w:asciiTheme="minorEastAsia" w:hAnsiTheme="minorEastAsia" w:cstheme="minorEastAsia"/>
          <w:b/>
          <w:bCs/>
          <w:color w:val="000000" w:themeColor="text1"/>
          <w:sz w:val="32"/>
          <w:szCs w:val="32"/>
          <w14:textFill>
            <w14:solidFill>
              <w14:schemeClr w14:val="tx1"/>
            </w14:solidFill>
          </w14:textFill>
        </w:rPr>
      </w:pPr>
    </w:p>
    <w:p w14:paraId="30EEE652">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32B4D1D0">
      <w:pPr>
        <w:snapToGrid w:val="0"/>
        <w:jc w:val="left"/>
        <w:rPr>
          <w:rFonts w:ascii="微软雅黑" w:hAnsi="微软雅黑" w:eastAsia="微软雅黑"/>
          <w:color w:val="000000" w:themeColor="text1"/>
          <w:sz w:val="24"/>
          <w:szCs w:val="24"/>
          <w14:textFill>
            <w14:solidFill>
              <w14:schemeClr w14:val="tx1"/>
            </w14:solidFill>
          </w14:textFill>
        </w:rPr>
      </w:pPr>
    </w:p>
    <w:p w14:paraId="379FE08C">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34932780">
      <w:pPr>
        <w:pStyle w:val="14"/>
        <w:ind w:right="-21" w:firstLine="542"/>
        <w:rPr>
          <w:rFonts w:ascii="宋体" w:hAnsi="宋体" w:eastAsia="宋体"/>
          <w:b/>
          <w:bCs/>
          <w:color w:val="000000" w:themeColor="text1"/>
          <w:szCs w:val="24"/>
          <w14:textFill>
            <w14:solidFill>
              <w14:schemeClr w14:val="tx1"/>
            </w14:solidFill>
          </w14:textFill>
        </w:rPr>
      </w:pPr>
    </w:p>
    <w:p w14:paraId="409D96B8">
      <w:pPr>
        <w:pStyle w:val="14"/>
        <w:ind w:right="-21" w:firstLine="542"/>
        <w:rPr>
          <w:rFonts w:ascii="宋体" w:hAnsi="宋体" w:eastAsia="宋体"/>
          <w:b/>
          <w:bCs/>
          <w:color w:val="000000" w:themeColor="text1"/>
          <w:szCs w:val="24"/>
          <w14:textFill>
            <w14:solidFill>
              <w14:schemeClr w14:val="tx1"/>
            </w14:solidFill>
          </w14:textFill>
        </w:rPr>
      </w:pPr>
    </w:p>
    <w:p w14:paraId="5A7313BF">
      <w:pPr>
        <w:pStyle w:val="14"/>
        <w:ind w:right="-21" w:firstLine="542"/>
        <w:rPr>
          <w:rFonts w:ascii="宋体" w:hAnsi="宋体" w:eastAsia="宋体"/>
          <w:b/>
          <w:bCs/>
          <w:color w:val="000000" w:themeColor="text1"/>
          <w:szCs w:val="24"/>
          <w14:textFill>
            <w14:solidFill>
              <w14:schemeClr w14:val="tx1"/>
            </w14:solidFill>
          </w14:textFill>
        </w:rPr>
      </w:pPr>
    </w:p>
    <w:p w14:paraId="02A78AE7">
      <w:pPr>
        <w:pStyle w:val="14"/>
        <w:ind w:right="-21" w:firstLine="542"/>
        <w:rPr>
          <w:rFonts w:ascii="宋体" w:hAnsi="宋体" w:eastAsia="宋体"/>
          <w:b/>
          <w:bCs/>
          <w:color w:val="000000" w:themeColor="text1"/>
          <w:szCs w:val="24"/>
          <w14:textFill>
            <w14:solidFill>
              <w14:schemeClr w14:val="tx1"/>
            </w14:solidFill>
          </w14:textFill>
        </w:rPr>
      </w:pPr>
    </w:p>
    <w:p w14:paraId="2E0B60A8">
      <w:pPr>
        <w:pStyle w:val="14"/>
        <w:ind w:right="-21" w:firstLine="542"/>
        <w:rPr>
          <w:rFonts w:ascii="宋体" w:hAnsi="宋体" w:eastAsia="宋体"/>
          <w:b/>
          <w:bCs/>
          <w:color w:val="000000" w:themeColor="text1"/>
          <w:szCs w:val="24"/>
          <w14:textFill>
            <w14:solidFill>
              <w14:schemeClr w14:val="tx1"/>
            </w14:solidFill>
          </w14:textFill>
        </w:rPr>
      </w:pPr>
    </w:p>
    <w:p w14:paraId="7D4C6E00">
      <w:pPr>
        <w:pStyle w:val="14"/>
        <w:ind w:right="-21" w:firstLine="542"/>
        <w:rPr>
          <w:rFonts w:ascii="宋体" w:hAnsi="宋体" w:eastAsia="宋体"/>
          <w:b/>
          <w:bCs/>
          <w:color w:val="000000" w:themeColor="text1"/>
          <w:szCs w:val="24"/>
          <w14:textFill>
            <w14:solidFill>
              <w14:schemeClr w14:val="tx1"/>
            </w14:solidFill>
          </w14:textFill>
        </w:rPr>
      </w:pPr>
    </w:p>
    <w:p w14:paraId="0C8FF5B8">
      <w:pPr>
        <w:snapToGrid w:val="0"/>
        <w:jc w:val="left"/>
        <w:rPr>
          <w:rFonts w:ascii="微软雅黑" w:hAnsi="微软雅黑" w:eastAsia="微软雅黑"/>
          <w:color w:val="000000" w:themeColor="text1"/>
          <w:sz w:val="24"/>
          <w:szCs w:val="24"/>
          <w14:textFill>
            <w14:solidFill>
              <w14:schemeClr w14:val="tx1"/>
            </w14:solidFill>
          </w14:textFill>
        </w:rPr>
      </w:pPr>
    </w:p>
    <w:p w14:paraId="4F6B8162">
      <w:pPr>
        <w:pStyle w:val="15"/>
        <w:ind w:left="0" w:firstLine="0" w:firstLineChars="0"/>
        <w:rPr>
          <w:rFonts w:ascii="宋体" w:hAnsi="宋体" w:eastAsia="宋体" w:cs="宋体"/>
          <w:color w:val="000000" w:themeColor="text1"/>
          <w:sz w:val="24"/>
          <w:szCs w:val="24"/>
          <w14:textFill>
            <w14:solidFill>
              <w14:schemeClr w14:val="tx1"/>
            </w14:solidFill>
          </w14:textFill>
        </w:rPr>
      </w:pPr>
      <w:bookmarkStart w:id="42" w:name="_Toc10424"/>
      <w:bookmarkEnd w:id="42"/>
      <w:bookmarkStart w:id="43" w:name="_Toc13475"/>
      <w:bookmarkEnd w:id="43"/>
    </w:p>
    <w:p w14:paraId="25109E6C"/>
    <w:sectPr>
      <w:footerReference r:id="rId5"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swiss"/>
    <w:pitch w:val="default"/>
    <w:sig w:usb0="00000000" w:usb1="00000000" w:usb2="00000009" w:usb3="00000000" w:csb0="200001FF" w:csb1="00000000"/>
  </w:font>
  <w:font w:name="Cambria">
    <w:altName w:val="DejaVu Math TeX Gyre"/>
    <w:panose1 w:val="02040503050406030204"/>
    <w:charset w:val="00"/>
    <w:family w:val="roman"/>
    <w:pitch w:val="default"/>
    <w:sig w:usb0="00000000" w:usb1="00000000"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ADEA">
    <w:pPr>
      <w:pStyle w:val="11"/>
      <w:jc w:val="center"/>
      <w:rPr>
        <w:rFonts w:eastAsia="仿宋_GB2312"/>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3C86">
    <w:pPr>
      <w:pStyle w:val="11"/>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A6A">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07D36B51"/>
    <w:multiLevelType w:val="singleLevel"/>
    <w:tmpl w:val="07D36B51"/>
    <w:lvl w:ilvl="0" w:tentative="0">
      <w:start w:val="1"/>
      <w:numFmt w:val="decimal"/>
      <w:suff w:val="nothing"/>
      <w:lvlText w:val="%1、"/>
      <w:lvlJc w:val="left"/>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abstractNum w:abstractNumId="3">
    <w:nsid w:val="662C8FE3"/>
    <w:multiLevelType w:val="singleLevel"/>
    <w:tmpl w:val="662C8FE3"/>
    <w:lvl w:ilvl="0" w:tentative="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2DC298A"/>
    <w:rsid w:val="032A2ABD"/>
    <w:rsid w:val="04731B5B"/>
    <w:rsid w:val="053C36A1"/>
    <w:rsid w:val="05646F54"/>
    <w:rsid w:val="063C7835"/>
    <w:rsid w:val="07EA463D"/>
    <w:rsid w:val="0830163C"/>
    <w:rsid w:val="12ED660A"/>
    <w:rsid w:val="14176415"/>
    <w:rsid w:val="14D56687"/>
    <w:rsid w:val="153922E4"/>
    <w:rsid w:val="17134569"/>
    <w:rsid w:val="1B7D5ED7"/>
    <w:rsid w:val="1E9D287A"/>
    <w:rsid w:val="1FCB6AFA"/>
    <w:rsid w:val="1FFF34D6"/>
    <w:rsid w:val="239E78EF"/>
    <w:rsid w:val="27F928EB"/>
    <w:rsid w:val="28095F37"/>
    <w:rsid w:val="2D42424E"/>
    <w:rsid w:val="2F6312F4"/>
    <w:rsid w:val="317B24DE"/>
    <w:rsid w:val="37F52EDB"/>
    <w:rsid w:val="3F2A685E"/>
    <w:rsid w:val="409F21E7"/>
    <w:rsid w:val="42074E31"/>
    <w:rsid w:val="4B5C131C"/>
    <w:rsid w:val="4C1B10B2"/>
    <w:rsid w:val="4C3E6E49"/>
    <w:rsid w:val="4FA475FF"/>
    <w:rsid w:val="50B02C9B"/>
    <w:rsid w:val="540D34EB"/>
    <w:rsid w:val="54551D8D"/>
    <w:rsid w:val="57516DFE"/>
    <w:rsid w:val="5BB93946"/>
    <w:rsid w:val="60DC3697"/>
    <w:rsid w:val="62DA42E2"/>
    <w:rsid w:val="63B634F2"/>
    <w:rsid w:val="663F5C60"/>
    <w:rsid w:val="66FA3068"/>
    <w:rsid w:val="68A36057"/>
    <w:rsid w:val="69820D04"/>
    <w:rsid w:val="6C0241EB"/>
    <w:rsid w:val="6C0E635F"/>
    <w:rsid w:val="6D095F92"/>
    <w:rsid w:val="6D5315E6"/>
    <w:rsid w:val="6DA71E62"/>
    <w:rsid w:val="6DFA1066"/>
    <w:rsid w:val="6F7F2A94"/>
    <w:rsid w:val="70A0485D"/>
    <w:rsid w:val="73291582"/>
    <w:rsid w:val="738935BF"/>
    <w:rsid w:val="74376028"/>
    <w:rsid w:val="745074AC"/>
    <w:rsid w:val="75440AB8"/>
    <w:rsid w:val="75A637CC"/>
    <w:rsid w:val="78C95AC2"/>
    <w:rsid w:val="7B683DC4"/>
    <w:rsid w:val="7CCE46F1"/>
    <w:rsid w:val="7D207B4E"/>
    <w:rsid w:val="7D5D25DD"/>
    <w:rsid w:val="7FE13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Body Text"/>
    <w:basedOn w:val="1"/>
    <w:next w:val="7"/>
    <w:unhideWhenUsed/>
    <w:qFormat/>
    <w:uiPriority w:val="0"/>
    <w:pPr>
      <w:spacing w:after="120"/>
    </w:pPr>
  </w:style>
  <w:style w:type="paragraph" w:styleId="7">
    <w:name w:val="Title"/>
    <w:basedOn w:val="1"/>
    <w:next w:val="1"/>
    <w:qFormat/>
    <w:uiPriority w:val="10"/>
    <w:pPr>
      <w:jc w:val="center"/>
    </w:pPr>
    <w:rPr>
      <w:rFonts w:ascii="Cambria" w:hAnsi="Cambria"/>
      <w:b/>
      <w:bCs/>
      <w:kern w:val="0"/>
      <w:sz w:val="32"/>
      <w:szCs w:val="32"/>
    </w:rPr>
  </w:style>
  <w:style w:type="paragraph" w:styleId="8">
    <w:name w:val="Body Text Indent"/>
    <w:basedOn w:val="1"/>
    <w:qFormat/>
    <w:uiPriority w:val="0"/>
    <w:pPr>
      <w:ind w:firstLine="645"/>
    </w:pPr>
    <w:rPr>
      <w:rFonts w:ascii="楷体_GB2312" w:eastAsia="楷体_GB2312"/>
      <w:sz w:val="32"/>
    </w:rPr>
  </w:style>
  <w:style w:type="paragraph" w:styleId="9">
    <w:name w:val="Plain Text"/>
    <w:basedOn w:val="1"/>
    <w:qFormat/>
    <w:uiPriority w:val="0"/>
    <w:rPr>
      <w:rFonts w:hAnsi="Courier New"/>
    </w:rPr>
  </w:style>
  <w:style w:type="paragraph" w:styleId="10">
    <w:name w:val="Balloon Text"/>
    <w:basedOn w:val="1"/>
    <w:link w:val="26"/>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semiHidden/>
    <w:unhideWhenUsed/>
    <w:qFormat/>
    <w:uiPriority w:val="39"/>
  </w:style>
  <w:style w:type="paragraph" w:styleId="1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4">
    <w:name w:val="Body Text First Indent"/>
    <w:basedOn w:val="6"/>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15">
    <w:name w:val="Body Text First Indent 2"/>
    <w:basedOn w:val="8"/>
    <w:qFormat/>
    <w:uiPriority w:val="0"/>
    <w:pPr>
      <w:ind w:left="420" w:firstLine="420" w:firstLineChars="2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0">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1">
    <w:name w:val="xl31"/>
    <w:basedOn w:val="1"/>
    <w:qFormat/>
    <w:uiPriority w:val="0"/>
    <w:pPr>
      <w:widowControl/>
      <w:spacing w:before="100" w:beforeAutospacing="1" w:after="100" w:afterAutospacing="1"/>
      <w:jc w:val="center"/>
    </w:pPr>
    <w:rPr>
      <w:b/>
      <w:bCs/>
      <w:kern w:val="0"/>
      <w:sz w:val="28"/>
      <w:szCs w:val="28"/>
    </w:rPr>
  </w:style>
  <w:style w:type="paragraph" w:styleId="22">
    <w:name w:val="List Paragraph"/>
    <w:basedOn w:val="1"/>
    <w:qFormat/>
    <w:uiPriority w:val="34"/>
    <w:pPr>
      <w:ind w:firstLine="420" w:firstLineChars="200"/>
    </w:pPr>
  </w:style>
  <w:style w:type="character" w:customStyle="1" w:styleId="23">
    <w:name w:val="font51"/>
    <w:basedOn w:val="18"/>
    <w:qFormat/>
    <w:uiPriority w:val="0"/>
    <w:rPr>
      <w:rFonts w:hint="default" w:ascii="Times New Roman" w:hAnsi="Times New Roman" w:cs="Times New Roman"/>
      <w:b/>
      <w:bCs/>
      <w:color w:val="000000"/>
      <w:sz w:val="20"/>
      <w:szCs w:val="20"/>
      <w:u w:val="none"/>
    </w:rPr>
  </w:style>
  <w:style w:type="character" w:customStyle="1" w:styleId="24">
    <w:name w:val="font41"/>
    <w:basedOn w:val="18"/>
    <w:qFormat/>
    <w:uiPriority w:val="0"/>
    <w:rPr>
      <w:rFonts w:hint="eastAsia" w:ascii="宋体" w:hAnsi="宋体" w:eastAsia="宋体" w:cs="宋体"/>
      <w:b/>
      <w:bCs/>
      <w:color w:val="000000"/>
      <w:sz w:val="20"/>
      <w:szCs w:val="20"/>
      <w:u w:val="none"/>
    </w:rPr>
  </w:style>
  <w:style w:type="table" w:customStyle="1" w:styleId="25">
    <w:name w:val="Table Normal"/>
    <w:semiHidden/>
    <w:unhideWhenUsed/>
    <w:qFormat/>
    <w:uiPriority w:val="0"/>
    <w:tblPr>
      <w:tblCellMar>
        <w:top w:w="0" w:type="dxa"/>
        <w:left w:w="0" w:type="dxa"/>
        <w:bottom w:w="0" w:type="dxa"/>
        <w:right w:w="0" w:type="dxa"/>
      </w:tblCellMar>
    </w:tblPr>
  </w:style>
  <w:style w:type="character" w:customStyle="1" w:styleId="26">
    <w:name w:val="批注框文本 Char"/>
    <w:basedOn w:val="18"/>
    <w:link w:val="10"/>
    <w:qFormat/>
    <w:uiPriority w:val="0"/>
    <w:rPr>
      <w:kern w:val="2"/>
      <w:sz w:val="18"/>
      <w:szCs w:val="18"/>
    </w:rPr>
  </w:style>
  <w:style w:type="paragraph" w:customStyle="1" w:styleId="27">
    <w:name w:val="Table Text"/>
    <w:basedOn w:val="1"/>
    <w:semiHidden/>
    <w:qFormat/>
    <w:uiPriority w:val="0"/>
    <w:pPr>
      <w:widowControl/>
      <w:kinsoku w:val="0"/>
      <w:autoSpaceDE w:val="0"/>
      <w:autoSpaceDN w:val="0"/>
      <w:adjustRightInd w:val="0"/>
      <w:snapToGrid w:val="0"/>
      <w:spacing w:after="160"/>
      <w:jc w:val="left"/>
      <w:textAlignment w:val="baseline"/>
    </w:pPr>
    <w:rPr>
      <w:rFonts w:ascii="宋体" w:hAnsi="宋体" w:eastAsia="宋体" w:cs="宋体"/>
      <w:snapToGrid w:val="0"/>
      <w:color w:val="000000"/>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5979</Words>
  <Characters>6348</Characters>
  <Lines>81</Lines>
  <Paragraphs>22</Paragraphs>
  <TotalTime>1324</TotalTime>
  <ScaleCrop>false</ScaleCrop>
  <LinksUpToDate>false</LinksUpToDate>
  <CharactersWithSpaces>6526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陶沙</cp:lastModifiedBy>
  <dcterms:modified xsi:type="dcterms:W3CDTF">2026-09-16T01:30:20Z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eyJoZGlkIjoiYjU0NmFhNGY5NjBmYTM5NTA1ZTA3NGI2NTQzNWQ1ODgiLCJ1c2VySWQiOiIzNDQ3NDYxOTgifQ==</vt:lpwstr>
  </property>
  <property fmtid="{D5CDD505-2E9C-101B-9397-08002B2CF9AE}" pid="4" name="ICV">
    <vt:lpwstr>D9AA34D111F741EB8340A78523733565_13</vt:lpwstr>
  </property>
</Properties>
</file>